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C-6811/2008 vom 8. Juli 2009</w:t>
      </w:r>
    </w:p>
    <w:p>
      <w:r>
        <w:t>Bundesverwaltungsgericht, 2009-07-08, DE</w:t>
      </w:r>
    </w:p>
    <w:p>
      <w:r>
        <w:rPr>
          <w:b/>
        </w:rPr>
        <w:t xml:space="preserve">Quelle: </w:t>
      </w:r>
      <w:r>
        <w:t>https://mcp.opencaselaw.ch/entscheid/bvger_C-6811_2008</w:t>
      </w:r>
    </w:p>
    <w:p>
      <w:r>
        <w:t>FR: TAF C-6811/2008 du 8 juillet 2009</w:t>
      </w:r>
    </w:p>
    <w:p>
      <w:r>
        <w:t>IT: TAF C-6811/2008 del 8 luglio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Der Bundesbeschluss vom 17. Dezember 2004 über die Genehmigung und die Umsetzung der bilateralen Abkommen zwischen der Schweiz und der EU über die Assoziierung an Schengen und an Dublin (SR 362) wurde in der Volksabstimmung vom 5. Juni 2005 angenommen.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Bundesgesetz vom 16. Dezember 2005 über ddie Ausländerinnen und Ausländer (AuG, SR 142.20) entsprechende Anpassungen notwendig (vgl. u.a. Art. 2 Abs. 4 AuG, wonach die Bestimmungen über das Visumverfahren und über die Ein- und Ausreise nur gelten, sofern das Schengen-Recht keine abweichenden Bestimmungen enthält). Im Weiteren ist die Verordnung vom 24. Oktober 2007 über das Einreise- und Visumverfahren (VEV, AS 2007 5537) total revidiert worden (vgl. Verordnung vom 22. Oktober 2008 über die Einreise und die Visumerteilung [VEV, SR 142.204]).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den Schengener Grenzkodex (SGK).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kosovarischer Staatsangehöriger unterliegt der Gesuchsteller damit der Visumspflicht.</w:t>
      </w:r>
    </w:p>
    <w:p>
      <w:r>
        <w:rPr>
          <w:b/>
        </w:rPr>
        <w:t>E. 7</w:t>
      </w:r>
    </w:p>
    <w:p>
      <w:r>
        <w:t>Das Bundesamt verweigerte dem Gesuchsteller die Visumserteilung insbesondere mit der Begründung, dass angesichts der im Vergleich zur Schweiz schlechteren Lebensbedingungen im Kosovo keine genügende Gewähr für seine gesicherte Wiederausreise bestehen würde.</w:t>
      </w:r>
    </w:p>
    <w:p>
      <w:r>
        <w:rPr>
          <w:b/>
        </w:rPr>
        <w:t>E. 7.1</w:t>
      </w:r>
    </w:p>
    <w:p>
      <w:r>
        <w:t>Geht es um die Prüfung des Kriteriums der gesicherten Wiederausreise, so können bezüglich eines solchen künftigen Verhaltens keine gesicherten Feststellungen, sondern lediglich Prognosen getroffen werden. Anhaltspunkte für die Beurteilung der gesicherten Wiederausreise können sich aus der allgemeinen Lage im Herkunftsland der Besucherin oder des Besuchers ergeben. In diesem Rahmen ist bei Einreisegesuchen von Personen aus Staaten beziehungsweise Regionen mit politisch oder wirtschaftlich vergleichsweise ungünstigen Verhältnissen zu berücksichtigen, dass deren persönliche Interessenlage in solchen Fällen häufig nicht mit dem Ziel und Zweck einer zeitlich befristeten Einreisebewilligung in Einklang steht.</w:t>
      </w:r>
    </w:p>
    <w:p>
      <w:r>
        <w:rPr>
          <w:b/>
        </w:rPr>
        <w:t>E. 7.2</w:t>
      </w:r>
    </w:p>
    <w:p>
      <w:r>
        <w:t>Der Gesuchsteller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In wirtschaftlicher Hinsicht ist das Land jedoch eines der ärmsten in Europa. Das Wirtschaftswachstum hat sich nach einem zunächst starken Aufschwung ab dem Jahre 2000 (21.2 %) auf ein längerfristig haltbares Niveau abgeflacht (2007: 3.9 %; geschätzte 5.4 % für 2008). Die Arbeitslosigkeit ist weit verbreitet und die entsprechende Rate bleibt hartnäckig hoch: Gemäss den letzten offiziellen Zahlen betrug sie im Jahre 2007 immer noch 43.6 % (2006: 44.9 %). Besonders problematisch ist sie dabei insbesondere bei der jungen Bevölkerung. Zudem stellt die Armut ein weitverbreitetes Phänomen dar: Der Anteil der in Armut lebenden Bevölkerung lag im Jahr 2008 bei hohen circa 45%, wobei 15% der Staatsbürger gar von extremer Armut betroffen sind (Quelle: Weltbank, &lt;http://www.worldbank.org&gt;, Countries &gt; Europe and Central Asia &gt; Kosovo &gt; Overview &gt; Kosovo Brief, Stand: April 2009, besucht am 2. Juli 2009). Vor diesem Hintergrund besteht ein vielfacher Wunsch zur Auswanderung, der sich vor allem bei denjenigen manifestiert, die bereits über ein minimales soziales Beziehungsnetz im Ausland verfügen. Im Falle der Schweiz führt dies angesichts der restriktiven ausländerrechtlichen Zulassungsregelung nicht selten zur Umgehung ausländerrechtlicher Bestimmungen. Dabei geht es nicht etwa allein um die Einreichung von Asylgesuchen nach erfolgter Einreise, sondern es wird oftmals versucht, den Aufenthalt zu verlängern oder - beispielsweise durch Ausbildung oder Heirat - auf eine andere migrationsrechtliche Grundlage zu stellen.</w:t>
      </w:r>
    </w:p>
    <w:p>
      <w:r>
        <w:rPr>
          <w:b/>
        </w:rPr>
        <w:t>E. 8</w:t>
      </w:r>
    </w:p>
    <w:p>
      <w:r>
        <w:t>Die geschilderten Umstände im Herkunftsland des Gesuchstellers deuten zwar auf ein latentes Risiko einer nicht fristgerechten Wiederausreise hin; sie entbinden die Vorinstanz bei der Analyse des Migrationsrisikos jedoch nicht von einer einzelfallbezogenen Beurteilung. Namentlich können berufliche, gesellschaftliche oder familiäre Verpflichtungen die Prognose für eine anstandslose Wiederausreise begünstigen. Umgekehrt muss bei einer gesuchstellenden Person, die keine der erwähnten Verpflichtungen hat, welche sie von einer möglichen Emigration abhalten könnten, aufgrund entsprechender Erfahrungen das Risiko eines ausländerrechtlich nicht vorschriftsgemässen Verhaltens nach bewilligter Einreise zu einem Besuchsaufenthalt als hoch eingeschätzt werden. Der Gesuchsteller ist 19-jährig, ledig und kinderlos. Zwar geht aus einer mit Beschwerde eingereichten Bestätigung hervor, dass er im Schuljahr 2008/2009 als Schüler in der Fachrichtung Automechaniker an der Technischen Fachschule in der Nähe seines Wohnortes eingeschrieben ist. Daraus kann jedoch nicht auf zwingende berufliche Verpflichtungen seinerseits in seinem Herkunftsland geschlossen werden, die ihn verlässlich von einer Emigration abzuhalten vermöchten. Zudem lebt er gemäss den Angaben der Beschwerdeführerin zwar mit seinen Eltern zusammen. Auch wenn ihm in diesem Zusammenhang gewisse familiäre Verpflichtungen obliegen sollten - in der Beschwerde werden "entsprechende" familiäre Verpflichtungen geltend gemacht -, so ist doch aus dem Umstand, dass er im Visumsantrag vom 14. August 2008 eine Einreisebewilligung für einen Besuchsaufenthalt von zwei Monaten beantragt hat, zu schliessen, dass die Eltern nicht ausschliesslich auf Betreuung und Pflege durch ihn angewiesen sind. Insgesamt lassen die Akten daher weder auf besondere familiäre oder gesellschaftliche noch auf berufliche Verpflichtungen des Gesuchstellers im Herkunftsland schliessen, welche eine günstige Prognose in Bezug auf seine gesicherte Wiederausreise nach einem Besuchsaufenthalt zulassen würden. Angesichts des Umstands, dass der Gesuchsteller zum Zeitpunkt seiner Ausschaffung im August 2004 erst 14-jährig und damit sein Verhalten weitestgehend von demjenigen seiner Eltern abhängig war, kann aus dem dieser vorangehenden Verhalten, welches den klaren Willen Letzterer erkennen liess, in der Schweiz zu bleiben, und auch aus dem Umstand, dass die Ausreise nicht freiwillig und folglich - entgegen den Ausführungen der Beschwerdeführerin in der Replik - nicht "anstandslos" erfolgte, in Bezug auf seinen eigenen allfälligen Emigrationswillen nichts geschlossen werden. Jedoch fällt in Betracht, dass die vier Geschwister des Gesuchstellers in der Schweiz leben und auch er den bis anhin überwiegenden Teil seines Lebens hier zugebracht hat. Entsprechend dürfte er hierzulande auch über zahlreiche während seiner Kindheit und Schulzeit geknüpfte persönliche Bindungen und damit über ein ausgedehntes Beziehungsnetz verfügen. Der Besuch von ehemaligen Schulkollegen ist denn gemäss Angaben der Beschwerdeführerin (vgl. Beschwerde S. 2) mit ein Grund für den beabsichtigten Aufenthalt in der Schweiz. Es ist daher davon auszugehen, dass nach wie vor eine entsprechend starke Bindung des Gesuchstellers zur Schweiz besteht. In Anbetracht insbesondere dieses langen Voraufenthalts und des umfassenden Beziehungsnetzes des Gesuchstellers in der Schweiz sowie des Fehlens besonderer Verpflichtungen im Herkunftsland, welche die Wiederausreise als wahrscheinlich erscheinen lassen würden, kann dem Gesuchsteller hinsichtlich der gesicherten Wiederausreise keine günstige Prognose gestellt werden.</w:t>
      </w:r>
    </w:p>
    <w:p>
      <w:r>
        <w:rPr>
          <w:b/>
        </w:rPr>
        <w:t>E. 9</w:t>
      </w:r>
    </w:p>
    <w:p>
      <w:r>
        <w:t>Unter den geschilderten Umständen durfte die Vorinstanz somit zu Recht davon ausgehen, es bestehe nicht genügend Gewähr für eine gesicherte Wiederausreise nach einem Besuchsaufenthalt. Daran ändert auch nichts, dass die Beschwerdeführerin diese zugesichert hat, ist doch eine solche Garantie weder faktisch noch rechtlich durchsetzbar. Gastgeber können für gewisse finanzielle Risiken im Zusammenhang mit einem Besuchsaufenthalt garantieren, nicht jedoch für ein bestimmtes Verhalten des Gastes (vgl. anstelle vieler: Urteil des Bundesverwaltungsgerichts C-6950/2007 vom 7. November 2008, E. 8).</w:t>
      </w:r>
    </w:p>
    <w:p>
      <w:r>
        <w:rPr>
          <w:b/>
        </w:rPr>
        <w:t>E. 10</w:t>
      </w:r>
    </w:p>
    <w:p>
      <w:r>
        <w:t>Aus diesen Darlegungen folgt, dass die angefochtene Verfügung im Lichte von Art. 49 VwVG rechtmässig ist. Die Beschwerde ist daher abzuweisen.</w:t>
      </w:r>
    </w:p>
    <w:p>
      <w:r>
        <w:rPr>
          <w:b/>
        </w:rPr>
        <w:t>E. 11</w:t>
      </w:r>
    </w:p>
    <w:p>
      <w:r>
        <w:t>Bei diesem Ausgang des Verfahrens sind die auf Fr. 600.- festzusetzenden Verfahrenskosten der Beschwerdeführerin aufzuerlegen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