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C-6790/2009 vom 8. Dezember 2011</w:t>
      </w:r>
    </w:p>
    <w:p>
      <w:r>
        <w:t>Bundesverwaltungsgericht, 2011-12-08, DE</w:t>
      </w:r>
    </w:p>
    <w:p>
      <w:r>
        <w:rPr>
          <w:b/>
        </w:rPr>
        <w:t xml:space="preserve">Quelle: </w:t>
      </w:r>
      <w:r>
        <w:t>https://mcp.opencaselaw.ch/entscheid/bvger_C-6790_2009</w:t>
      </w:r>
    </w:p>
    <w:p>
      <w:r>
        <w:t>FR: TAF C-6790/2009 du 8 décembre 2011</w:t>
      </w:r>
    </w:p>
    <w:p>
      <w:r>
        <w:t>IT: TAF C-6790/2009 del 8 dicembre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des Bundesgesetzes vom 6. Oktober 2000 über den Allgemeinen Teil des Sozialversicherungsrechts [ATSG, SR 830.1] und Art. 52 Abs. 1 VwVG). Als Adressat der angefochtenen Verfügung vom 20. Oktober 2009 (act. 51 und 52) ist der Beschwerdeführer berührt und hat ein schutzwürdiges Interesse an deren Aufhebung oder Änderung (vgl. Art. 59 ATSG). Zusammenfassend ergibt sich, dass sämtliche Prozessvoraussetzungen erfüllt sind. Auf die Beschwerde ist einzutreten.</w:t>
      </w:r>
    </w:p>
    <w:p>
      <w:r>
        <w:rPr>
          <w:b/>
        </w:rPr>
        <w:t>E. 1.4</w:t>
      </w:r>
    </w:p>
    <w:p>
      <w:r>
        <w:t>Anfechtungsobjekt bildet die Verfügung der Vorinstanz vom 20. Oktober 2009 (act. 51 und 52), mit welcher bei einem IV-Grad von 15 % das Rentenbegehren des Beschwerdeführers abgewiesen worden war. Streitig und zu prüfen ist die Rechtmässigkeit dieser Abweisung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deutsche Staatsbürgerschaft und wohnt in Deutschland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20. Oktober 2009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2.5.1</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2.5.2</w:t>
      </w:r>
    </w:p>
    <w:p>
      <w:r>
        <w:t>Am 10. Juli 2006 erlitt der Beschwerdeführer zufolge eines epileptischen Anfalls einen Unfall; ärztlicherseits wurde ihm ab diesem Zeitpunkt eine 100%ige Arbeitsunfähigkeit in der zuletzt ausgeübten Tätigkeit als Chauffeur im Umzugswesen attestiert (vgl. bspw. act. 5, 9 und 33 S. 6). Mit diesem Unfallereignis wurde die einjährige gesetzliche Wartezeit eröffnet, und die Arbeitsunfähigkeit betrug während dieses Jahres durchschnittlich mindestens 40 %.</w:t>
      </w:r>
    </w:p>
    <w:p>
      <w:r>
        <w:rPr>
          <w:b/>
        </w:rPr>
        <w:t>E. 2.6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Die Vorinstanz (resp. die IV-Stelle BS) stützte sich im Rahmen des Erlasses der Verfügung vom 20. Oktober 2009 in medizinischer Hinsicht insbesondere auf das Gutachten der B._______ vom 15. Juli 2008 und das rheumatologische Fachgutachten des D._______-Spitals vom 28. Februar 2008 (act. 33) sowie den auf dem Formular E 213 von Dr. med. C._______ am 6. August 2008 verfassten Bericht (act. 45 S. 143 bis 160).</w:t>
      </w:r>
    </w:p>
    <w:p>
      <w:r>
        <w:rPr>
          <w:b/>
        </w:rPr>
        <w:t>E. 3.1</w:t>
      </w:r>
    </w:p>
    <w:p>
      <w:r>
        <w:t>Im rheumatologischen Fachgutachten wurden mit Auswirkungen auf die Arbeitsfähigkeit ein rechtsbetontes Panvertebralsyndrom (ICD-10: M54.8) sowie ein mögliches cervicoradikuläres Reizsyndrom rechts (ICD-10: M50.1) diagnostiziert. Weiter wurde berichtet, für die zuletzt ausgeübte Tätigkeit als Umzugspacker und Chauffeur sei der Versicherte nicht mehr arbeitsfähig. Für eine geeignete Verweistätigkeit bestehe eine volle Arbeitsfähigkeit. Im Gutachten der B._______ wurde mit Auswirkungen auf die Arbeitsfähigkeit nebst den bereits im rheumatologischen Gutachten diagnostizierten Krankheiten die Diagnose einer fokalen Epilepsie mit einfachen sensiblen und sekundär generalisierten tonisch-klinischen Anfällen gestellt. Weiter wurde ausgeführt, die Untersuchungen und die Anamnese liessen nicht an ein entzündliches Leiden denken. Die Laboruntersuchungen vom 21. Januar 2008 sowie diejenigen der B._______ hätten keine entzündlichen Aktivitäten gezeigt. Eine allfällige positive Testung auf HLA B27 (welche aus den Akten nicht ersichtlich sei) könne nicht als Grundlage für die Diagnosestellung eines Morbus Bechterew herangezogen und auch nicht als wesentlichen Hinweis auf ein solches Leiden verwendet werden. Eine solche Testung sei nur hilfreich, wenn sie negativ ausfalle im Sinne eines guten Ausschlusskriteriums für ein Bechterewleiden. Die Diagnose resp. Verdachtsdiagnose eines Morbus Bechterew könne deshalb nicht gestellt werden. Der Versicherte sei in seinem angestammten Beruf als Chauffeur im Umzugswesen dauerhaft zu 100 % arbeitsunfähig. Die Arbeitsunfähigkeit beginne mit dem Datum des ersten epileptischen Anfalls (10. Juli 2006). Für entsprechende Verweistätigkeiten, welche die aufgezählten Einschränkungen berücksichtigen würden, bestehe eine 100%ige Arbeitsfähigkeit; dies gelte ab dem Datum der rheumatologischen Begutachtung (23. Januar 2008). Dr. med. C._______ diagnostizierte ein epileptisches Anfallsleiden mit partiellen und sekundär generalisierten Anfällen mit laufender antiepileptischer Therapie mit Valproat sowie ein chronisches rezidivierendes Vertebral-, insbesondere Lumbalsyndrom mit Wirbelsäulenfehlhaltung, muskulärer Dysbalance bei Fehlen von Hinweisen auf das Vorliegen eines chronisch entzündlich rheumatischen Geschehens und neurologischer Reiz- oder Ausfallserscheinungen im Bereich der unteren Extremitäten und mangels Hinweisen auf einen Morbus Bechterew. Weiter stellte sie die Diagnose einer arteriellen Hypertonie, welche medikamentös eingestellt sei; zuletzt im Februar 2007 sei eine gute ergometrische Belastbarkeit ohne Hinweise auf eine Belastungskoronarinsuffizienz bis zur 150 Watt-Stufe nachgewiesen worden. Weiter berichtete Dr. med. C._______, in Übereinstimmung mit dem Gutachter des B._______ dürfe der Versicherte auf Dauer Arbeiten, die das Führen von Kraftfahrzeugen erforderlich machten, nicht mehr verrichten. Die zuletzt ausgeübte Tätigkeit als LKW-Fahrer im Umzugswesen dürfe auf Dauer nicht mehr ausgeübt werden. Unter Berücksichtigung der genannten qualitativen Leistungseinschränkungen seien leichte körperliche Männerarbeiten weiterhin vollschichtig zumutbar.</w:t>
      </w:r>
    </w:p>
    <w:p>
      <w:r>
        <w:rPr>
          <w:b/>
        </w:rPr>
        <w:t>E. 3.2</w:t>
      </w:r>
    </w:p>
    <w:p>
      <w:r>
        <w:t>Das Gutachten der B._______ vom 15. Juli und das rheumatologische Fachgutachten des D._______-Spitals vom 28. Februar 2008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im massgeblichen Verfügungszeitpunkt vom 20. Oktober 2009 schlüssig und zuverlässig beurteilen (vgl. BGE 125 V 353 E. 3b/bb; vgl. zum Ganzen auch E. 2.6 hiervor). Es ist demnach davon auszugehen, dass der Beschwerdeführer die zuletzt ausgeübte Tätigkeit als LKW-Fahrer im Umzugswesen dauernd ab Juli 2006 nicht mehr ausüben kann. Eine alternative, leidensadaptierte Tätigkeit ist dem Beschwerdeführer jedoch vollschichtig zumutbar - dies ab 23. Januar 2008 (Ziff. 8 des Gutachtens der B._______). Die beiden Gutachten vom 28. Februar und 15. Juli 2008 stehen überdies mit dem ausführlichen, auf dem Formular E 213 von Dr. med. C._______ am 6. August 2008 verfassten Bericht sowohl hinsichtlich der Diagnosestellung als auch betreffend die Beurteilung der Arbeits- und Leistungsfähigkeit in Übereinstimmung. In Bezug auf den in früheren Arztberichten erwähnten Morbus Bechterew (vgl. bspw. act. 41 S. 3) ist festzustellen, dass sich die Gutachter in den Expertisen ausführlich mit dieser Krankheit auseinander gesetzt und für das Bundesverwaltungsgericht nachvollziehbar und schlüssig dargelegt haben, weswegen die Diagnose resp. Verdachtsdiagnose eines Morbus Bechterew nicht gestellt werden kann und die vom Beschwerdeführer geklagten Beschwerden überwiegend mechanischer und myotendinotischer Natur sind. In diesem Zusammenhang ist festzustellen, dass - selbst bei Vorliegen eines Morbus Bechterew - eine Diagnose für sich allein genommen keinen Schluss auf eine gesundheitlich bedingte Einschränkung in der Arbeitsfähigkeit zulässt (vgl. BGE 132 V 65 E. 3.4 mit Hinweisen). Hinsichtlich des Zeitraums vor dem 23. Januar 2008 (vgl. E. 3.2 am Schluss hiervor) ergibt sich weiter Folgendes:</w:t>
      </w:r>
    </w:p>
    <w:p>
      <w:r>
        <w:rPr>
          <w:b/>
        </w:rPr>
        <w:t>E. 3.3</w:t>
      </w:r>
    </w:p>
    <w:p>
      <w:r>
        <w:t>Im Urteil des Sozialversicherungsgerichts BS vom 2. Februar 2009 wurde aufgrund der damals vorliegenden medizinischen Akten erwogen, dass der Beschwerdeführer mit überwiegender Wahrscheinlichkeit ab dem 24. Mai bis zum 8. Juni 2007 in einer leidensangepassten Tätigkeit zu 100 % arbeitsfähig gewesen sei. Somit ist auch im vorliegenden Verfahren rechtsgenüglich erstellt, dass der Beschwerdeführer seit dem 24. Mai 2007 in einer leidensadaptierten Tätigkeit zu 100 % arbeitsfähig ist. Hinweise darauf, dass sich diese Beurteilung ab dem 8. Juni 2007 bis zum 23. Januar 2008 geändert hatte, ergeben sich mit Blick auf die medizinischen Akten keine. Dr. med. E._______, Facharzt für Neurologie und Psychiatrie, erwähnte in seinem Bericht vom 24. Juli 2007 (act. 45 S. 127) zwar eine depressive Entwicklung mit Somatisierung und ein multifaktorielles Kopfschmerzsyndrom. Indem dieser Facharzt aber an den letzten Bericht vom 27. Juni 2007 - welcher vom Sozialversicherungsgericht berücksichtigt wurde - und die ausführlichen Vorbefunde anknüpfte und im Juli 2007 weder eine wesentliche Befundänderung noch neue diagnostische Aspekte vorfand, ist ohne weiteres davon auszugehen, dass sich ab Juli 2007 der Gesundheitszustand nicht wesentlich - wenn überhaupt - verschlechtert hatte. Dies ergibt sich auch aus dem Bericht von Dr. med. F._______, Facharzt für Orthopädie und Chirotherapie/Sportmedizin vom 23. November 2007 (act. 41). Darin wurde zwar keine Aussage über die Arbeitsfähigkeit gemacht, jedoch zeigten sich anlässlich der Untersuchung eine intakte Motorik und weder ein Druckschmerz noch eine Bewegungseinschränkung, Blockierungen und neurologische Ausfälle. Am Umstand, dass der Beschwerdeführer in einer leidensadaptierten Tätigkeit ab Mai 2007 vollständig arbeits- resp. leistungsfähig gewesen war, vermögen weder die Berichte vom 24. Juli und 23. November 2007 noch die ärztlichen Atteste vom 6. Juli und 7. September 2007 (act. 45 S. 126 und 128), welche keine rechtsgenügliche Begründung enthalten und keinen Bezug zur Arbeits- und Leistungsfähigkeit in leidensadaptierten Verweistätigkeiten nehmen, etwas zu ändern.</w:t>
      </w:r>
    </w:p>
    <w:p>
      <w:r>
        <w:rPr>
          <w:b/>
        </w:rPr>
        <w:t>E. 4.1</w:t>
      </w:r>
    </w:p>
    <w:p>
      <w:r>
        <w:t>Betreffend die nach Erlass der angefochtenen Verfügung vom 20. Oktober 2009 im Rahmen des hängigen Beschwerdeverfahrens eingegangenen ärztlichen Berichte (B-act. 6, 10 und 16) ist festzustellen,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w:t>
      </w:r>
    </w:p>
    <w:p>
      <w:r>
        <w:rPr>
          <w:b/>
        </w:rPr>
        <w:t>E. 4.2</w:t>
      </w:r>
    </w:p>
    <w:p>
      <w:r>
        <w:t>Dr. med. G._______, Facharzt für Allgemeinmedizin, berichtete am 24. November 2009 von einer im November 2009 aufgetretenen schmerzhaften Schwellung der rechten Gesässhälfte resp. einer baldigen Operation (B-act. 6). Im entsprechenden Operationsbericht vom 11. Februar 2010 von Dr. med. H._______ wurden Tumore im rechten Oberschenkel und im Unterbauch links diagnostiziert und die operative Vorgehensweise geschildert (B-act. 10). Weiter wurde im Bericht der I._______ vom 8. März 2010 ein akuter Schub eines seronegativen, HLA B27 positiven Morbus Bechterew erwähnt (B-act. 16). Diese nach Verfügungserlass erstellten ärztlichen Dokumente sind nicht geeignet, die Beurteilung im Zeitpunkt des Verfügungserlasses entscheidend zu beeinflussen (vgl. BGE 121 V 362 E. 1b in fine und BGE 116 V 80 E. 6b). Diese sind aber an die Vorinstanz zu überweisen, damit sie den Leistungsanspruch des Beschwerdeführers nach dem Zeitpunkt der vorliegend angefochtenen Verfügung vom 20. Oktober 2009 neu beurteilt. Im Rahmen dieser Neubeurteilung ist insbesondere durch entsprechend qualifizierte Fachärzte - der RAD-Arzt Dr. med. J._______ verfügt über den Facharzttitel Allgemeine Innere Medizin und nicht über einen solchen in den Disziplinen Neurologie, Orthopädie und/oder Rheumatologie - zu prüfen, ob beim Versicherten in der Zwischenzeit tatsächlich ein Morbus Bechterew zu diagnostizieren ist und wenn ja, inwiefern sich dieser auf die Arbeits- bzw. Leistungsfähigkeit insbesondere in einer leidensadaptierten Verweistätigkeit auswirkt (B-act. 6). Weiter ist zu prüfen, ob als Folge der am 11. Februar 2010 durchgeführten Operation eine länger dauernde Arbeits- und Leistungsunfähigkeit resultierte (B-act. 10); immerhin befand sich der Beschwerdeführer vom 22. Februar bis 4. März 2010 in stationärer Behandlung und wurde arbeitsunfähig entlassen (B-act. 16).</w:t>
      </w:r>
    </w:p>
    <w:p>
      <w:r>
        <w:rPr>
          <w:b/>
        </w:rPr>
        <w:t>E. 5</w:t>
      </w:r>
    </w:p>
    <w:p>
      <w:r>
        <w:t>Im Rahmen der Bemessung der Invalidität ging die Vorinstanz von einem hypothetischen Valideneinkommen von jährlich Fr. 63'700.- und einem hypothetischen Invalideneinkommen von Fr. 54'157.- pro Jahr aus und errechnete einen IV-Grad von 15 % (act. 51 und 52). Sie wich dabei von den Erhebungen des Sozialversicherungsgerichts BS in dessen Urteil vom 2. Februar 2009 (act. 47) im Wesentlichen insofern ab, als dass sie bei der Bemessung des hypothetischen Invalideneinkommens bloss einen leidensbedingten Abzug in der Höhe von 10 % - statt 25 % - vom statistischen Lohn vorgenommen hatte. Die Frage, ob ein leidensbedingter Abzug von 25 % - was mit Blick auf vergleichbare Fälle als sehr hoch erscheint - oder ein solcher von 10 % gerechtfertigt ist, kann im vorliegenden Verfahren offen gelassen werden, da selbst bei Berücksichtigung eines 25%igen Abzugs ein rentenausschliessender IV-Grad von 29 % resultiert.</w:t>
      </w:r>
    </w:p>
    <w:p>
      <w:r>
        <w:rPr>
          <w:b/>
        </w:rPr>
        <w:t>E. 6</w:t>
      </w:r>
    </w:p>
    <w:p>
      <w:r>
        <w:t>Aufgrund der vorstehenden Erwägungen ist zusammenfassend festzustellen, dass gemäss des schlüssigen, überzeugenden und somit voll beweiskräftigen Gutachtens der B._______ vom 15. Juli und des rheumatologischen Fachgutachtens des D._______ vom 28. Februar 2008 sowie des Berichts von Dr. med. C._______ vom 6. August 2008 davon auszugehen ist, dass der Beschwerdeführer in seiner zuletzt ausgeübten Tätigkeit als LKW-Chauffeur im Umzugswesen ab 10. Juli 2006 dauerhaft arbeitsunfähig ist und ihm - auch mit Blick auf die ab dem 24. Juli bis 23. November 2007 verfassten Berichte - nach Ablauf der einjährigen gesetzlichen Wartefrist (Juli 2007) eine alternative, leidensadaptierte Verweistätigkeit vollschichtig zumutbar war. Die angefochtene Verfügung vom 20. Oktober 2009 erweist sich somit im Ergebnis als rechtens, weshalb die dagegen erhobene Beschwerde vom 28. Oktober 2009 abzuweisen ist. Die Akten sind an die Vorinstanz zur Prüfung des Leistungsanspruchs nach dem Zeitpunkt der angefochtenen Verfügung vom 20. Oktober 2009 zu überweisen.</w:t>
      </w:r>
    </w:p>
    <w:p>
      <w:r>
        <w:rPr>
          <w:b/>
        </w:rPr>
        <w:t>E. 7</w:t>
      </w:r>
    </w:p>
    <w:p>
      <w:r>
        <w:t>Zu befinden bleibt noch über die Verfahrenskosten und eine allfällige Parteientschädigung.</w:t>
      </w:r>
    </w:p>
    <w:p>
      <w:r>
        <w:rPr>
          <w:b/>
        </w:rPr>
        <w:t>E. 7.1</w:t>
      </w:r>
    </w:p>
    <w:p>
      <w:r>
        <w:t>Mit Zwischenverfügung vom 15. April 2010 wurde das Gesuch des Beschwerdeführers vom 2. Februar 2010 um Befreiung von den Verfahrenskosten gutgeheissen; jener hat somit keine Verfahrenskosten zu tragen.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