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C-6789/2009 vom 5. Januar 2011</w:t>
      </w:r>
    </w:p>
    <w:p>
      <w:r>
        <w:t>Bundesverwaltungsgericht, 2011-01-05, DE</w:t>
      </w:r>
    </w:p>
    <w:p>
      <w:r>
        <w:rPr>
          <w:b/>
        </w:rPr>
        <w:t xml:space="preserve">Quelle: </w:t>
      </w:r>
      <w:r>
        <w:t>https://mcp.opencaselaw.ch/entscheid/bvger_C-6789_2009</w:t>
      </w:r>
    </w:p>
    <w:p>
      <w:r>
        <w:t>FR: TAF C-6789/2009 du 5 janvier 2011</w:t>
      </w:r>
    </w:p>
    <w:p>
      <w:r>
        <w:t>IT: TAF C-6789/2009 del 5 gennaio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darauf einzutreten.</w:t>
      </w:r>
    </w:p>
    <w:p>
      <w:r>
        <w:rPr>
          <w:b/>
        </w:rPr>
        <w:t>E. 2.1</w:t>
      </w:r>
    </w:p>
    <w:p>
      <w:r>
        <w:t>Die Beschwerdeführerin ist deutsche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Koordinierung der Systeme der sozialen Sicherheit, anzuwen­den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2.2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3.1</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 Revision, AS 2003 3837 be­ziehungsweise AS 2003 3859, in Kraft vom 1. Januar 2004 bis 31. De­zember 2007) anwendbar. Am 1. Ja­nuar 2008 sind die Ände­rungen des IVG und des ATSG vom 6. Oktober 2006 sowie der IVV vom 28. Sep­tember 2007 (5. IV Re­vi­sion, AS 2007 5129 be­zie­hungs­weise AS 2007 5155) in Kraft getreten. Soweit sich der Renten­an­spruch auf die Zeit nach dem 1. Januar 2008 bezieht, sind die Be­stim­mungen der er­wähnten Erlasse in der seit die­sem Datum gel­ten­den Fassung an­wendbar.Sofern sich die einschlägigen Bestimmungen materiell nicht verändert haben, werden im Folgenden - falls nichts Gegenteiliges vermerkt - die Be­stimmungen lediglich in der ab 1. Januar 2008 gültig gewesenen Fassung zitiert.</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Die Beschwerdeführenden können im Rahmen des Beschwerde­verfahrens die Verletzung von Bundesrecht unter Einschluss des Miss­brauchs oder der Überschreitung des Ermessens, die unrichtige oder unvollständige Feststellung des Sachverhalts sowie Unangemessen­heit des Entscheids rügen (Art. 49 VwVG).</w:t>
      </w:r>
    </w:p>
    <w:p>
      <w:r>
        <w:rPr>
          <w:b/>
        </w:rPr>
        <w:t>E. 4.1</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 [in der bis 31. Dezember 2007 gültig gewesenen Fassung]).</w:t>
      </w:r>
    </w:p>
    <w:p>
      <w:r>
        <w:rPr>
          <w:b/>
        </w:rPr>
        <w:t>E. 4.2</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1 IVG [4. IV-Revision] respektive Art. 28 Abs. 2 IVG [5. IV-Revision]). Gemäss Art. 28 Abs. 1ter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4.3</w:t>
      </w:r>
    </w:p>
    <w:p>
      <w:r>
        <w:t>Der Rentenanspruch nach Artikel 28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 [5. IV-Revision]).</w:t>
      </w:r>
    </w:p>
    <w:p>
      <w:r>
        <w:rPr>
          <w:b/>
        </w:rPr>
        <w:t>E. 4.4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4.6</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 Abs. 2, Abs. 2bis und Abs. 2ter IVG [4. IV-Revision] und Art. 28a IVG [5. IV-Revision]).</w:t>
      </w:r>
    </w:p>
    <w:p>
      <w:r>
        <w:rPr>
          <w:b/>
        </w:rPr>
        <w:t>E. 4.6.1</w:t>
      </w:r>
    </w:p>
    <w:p>
      <w:r>
        <w:t>Zu prüfen ist, was die versicherte Person bei im Übrigen unver­än­derten Umständen täte, wenn keine gesundheitliche Beeinträchti­gung bestünde. So sind insbesondere bei im Haushalt tätigen Versi­cherten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133 V 477 E. 6.3, 125 V 146 E. 2c, je mit Hinweisen).</w:t>
      </w:r>
    </w:p>
    <w:p>
      <w:r>
        <w:rPr>
          <w:b/>
        </w:rPr>
        <w:t>E. 4.6.2</w:t>
      </w:r>
    </w:p>
    <w:p>
      <w:r>
        <w:t>Laut bundesgerichtlicher Rechtsprechung ist für Hausfrauen, die vor dem Eintritt des Gesundheitsschadens nicht ganztägig erwerbstä­tig waren, die sogenannte gemischte Methode anzuwenden (vgl. BGE 130 V 393 mit Hinweisen). Dabei wird die Invalidität im Bereich der Erwerbstätigkeit aufgrund des Einkommensvergleichs bestimmt, im Bereich der üblichen Tätigkeit im Haushalt jedoch anhand des Betäti­gungsvergleichs bemessen (Art. 28 Abs. 2ter IVG [4. IV-Revision] und Art. 28a Abs. 3 IVG). Danach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Der Invaliditätsgrad ergibt sich schliesslich aus einer Addition der in beiden Bereichen ermittelten und gewichteten Teilinvaliditäten. Beim Einkommensvergleich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5</w:t>
      </w:r>
    </w:p>
    <w:p>
      <w:r>
        <w:t>Nachfolgend ist zu prüfen, ob die IVSTA das Leistungsbegehren der Beschwerdeführerin zu Recht abgewiesen hat.</w:t>
      </w:r>
    </w:p>
    <w:p>
      <w:r>
        <w:rPr>
          <w:b/>
        </w:rPr>
        <w:t>E. 5.1</w:t>
      </w:r>
    </w:p>
    <w:p>
      <w:r>
        <w:t>Die Beschwerdeführerin machte geltend, es sei nicht nach­voll­ziehbar, dass die Ärzte und der Versicherer in Deutschland einen Be­hinderungsgrad von 50% bis 70% festgestellt hätten und die IVSTA da­von ausgehe, sie sei im erwerblichen Bereich nicht be­ein­trächtigt. Fer­ner rügte sie diverse Punkte in der Sachverhalts­fest­stel­lung der IVSTA, weshalb sie beantragte, den Sachverhalt nochmals ab­klären zu las­sen.</w:t>
      </w:r>
    </w:p>
    <w:p>
      <w:r>
        <w:rPr>
          <w:b/>
        </w:rPr>
        <w:t>E. 5.2</w:t>
      </w:r>
    </w:p>
    <w:p>
      <w:r>
        <w:t>Die IVSTA entgegnete, aus der Rentenzusprache der deutschen Ren­tenversicherung könne die Beschwerdeführerin keine Ansprüche ab­leiten. In Bezug auf die medizinische Sachverhaltsfeststellung führte die IVSTA aus, der ärztliche Dienst habe die umfangreichen Akten ausgewertet und die Beurteilung sei nachvollziehbar dargelegt wor­den.</w:t>
      </w:r>
    </w:p>
    <w:p>
      <w:r>
        <w:rPr>
          <w:b/>
        </w:rPr>
        <w:t>E. 5.3</w:t>
      </w:r>
    </w:p>
    <w:p>
      <w:r>
        <w:t>Der Verfügung vom 24. September 2009 lagen namentlich fol­gende medizinischen Unterlagen zu Grunde: der Entlassungsbericht des Reha-Zentrums B._______ vom 18. September 2007 (act. 37), die Berichte von Dr. med. C._______, Arzt für Orthopädie, Chirotherapie, Skelettröntgen und Sonographie, vom 31. Oktober 2007 (act. 38) und vom 3. Dezember 2008 (act. 47), der Bericht von Dr. med. D._______, Haut­arzt und Allergologe, vom 17. Novem­ber 2007 (act. 40), der Bericht des Klinikums E._______ vom 27. De­zember 2007 (act. 42), der Bericht der Fachkliniken F._______ vom 20. Februar 2008 (act. 43), der Bericht des Ra­diologischen Zentrums G._______ vom 2. Juni 2008 (act. 44), der Austrittsbericht der Rehaklinik H._______ vom 27. November 2008 (act. 46), der Testbogen für Allergene vom 10. Dezember 2008 (act. 48), der Bericht von Dr. med. I._______, Arzt für Lungen- und Bronchialheilkunde, Allergologie und Innere Medizin, vom 4. Dezem­ber 2008 (act. 49) und der Schlussbericht des RAD Rhone von Dr. med. A._______, Allgemeinmedizin, vom 21. September 2009 (act. 53). Diesen medizinischen Berichten sind im Wesentlichen folgende Dia­gnosen zu entnehmen: ein mittelschweres persistierendes gemischt­förmiges Asthma bronchiale mit polyvalenter Sensibilisierung gegen in­halative Allergene und Frühblüherpollenallergie, eine allergische Rhi­no­konjunktivitis, eine atopische Dermatitis, ein chronisches zervikales Schmerz­syndrom, eine Laktoseintoleranz, eine teilfixierte Kypho­sko­liose, ein Zustand nach (operiertem) Mamma-Karzinom mit Radiatio rechts (1994), eine Periarthritis humeroscapularis beidseits, eine Schultergelenksarthrose, eine bekannte degenerative Innenmenisko­pathie, eine Gonarthrose beidseits, eine schwerste destruierende Poly­arthrose der Finger­endgelenke, ein Lymphödem nach Ablatio mammae rechts, ein Status nach entzündlichem Pleuraerguss unklarer Ätiologie rechts, ein Zustand nach Schilddrüsenteilresektion und ein Tinnitus. Die Arbeitsfähigkeit der Beschwerdeführerin bezifferten die Ärzte des Reha-Zentrums B._______ am 19. September 2007 auf 100% für leichte bis mittelschwere wechselbelastende Tätigkeiten ohne Zwangs­hal­tungen und ohne Exposition mit Nässe, Hitze, Zugluft, inhalativen Schad­stoffen und Allergenen. Ferner hielt Dr. med. D._______ in seinem Bericht vom 17. November 2007 fest, dass aufgrund der Schwe­re der Erkrankungen aus fachärztlicher Sicht ein Nachteils­aus­gleich nicht unter 70% zu befürworten sei. Dem Reha-Bericht der Klinik H._______ ist zu entnehmen, die Beschwerdeführerin sei seit Ende 2007 krankgeschrieben und ein Grad der Behinderung von 50% sei an­erkannt; es sei ein Antrag auf Erhöhung gestellt worden. Dem Schlussbericht des RAD Rhone ist schliesslich zu entnehmen, die Be­schwerdeführerin sei in ihrer bisherigen Tätigkeit seit dem 26. Dezem­ber 2007 (Pleuraerguss) zu 100% arbeitsunfähig. Seit dem 16. Ok­tober 2008 (Entlassung aus der Reha) sei die Arbeitsfähigkeit wieder voll vorhanden. Im Haushalt sei sie seit dem 26. Dezember 2007 zu 100% eingeschränkt und seit dem 12. Februar 2008 (Entlassung aus dem Spital) sei sie lediglich noch zu 17,5% eingeschränkt. Es ist festzuhalten, dass sich die begutachtenden Ärzte - mit Ausnah­me der Ärzte des Rehazentrums B._______ - nicht zur Arbeitsfähigkeit der Beschwerdeführerin geäussert haben. Dr. med. D._______ gab zwar eine Einschätzung betreffend Nachteilsausgleich ab und die Ärzte der Rehaklinik H._______ hielten fest, dass ein Grad der Be­hin­derung von 50% anerkannt sei; diese beiden Angaben seien jedoch nicht geeignet, um festzustellen, in welchen Tätigkeiten und in wel­chem Ausmass die Beschwerdeführerin in ihrer Arbeitsfähigkeit einge­schränkt ist, da es sich bei diesen Begriffen um Bezeichungen des deut­schen Sozialversicherungsrechts handelt, welche für das schwei­ze­rische Recht nicht massgebend sind. Die Einschätzung des Reha­zentrums B._______ kann für die Beurteilung nicht massgebend sein, da die Einschätzung zwei Jahre vor dem Verfügungszeitpunkt datiert und überdies in der Zwischenzeit ein Pleuraerguss aufgetreten ist, welcher ebenfalls einen Einfluss auf die Arbeitsfähigkeit der Be­schwerde­führerin haben könnte. Zusammenfassend ist somit festzuhalten, dass den vorhandenen Un­ter­lagen zwar die gestellten Diagnosen entnommen werden können, je­doch nicht die daraus folgende Arbeitsfähigkeit. Da bei der Be­schwer­de­führerin sehr viele verschiedene Diagnosen gestellt wurden, kann auch nicht einfach gestützt auf die Akten beurteilt werden, wel­che Einschränkungen die Diagnosen zur Folge haben, da diese unter­einander Wechselwirkungen haben könnten und zudem ohnehin nicht alleine aufgrund der Diagnose auf die daraus folgende Einschränkung geschlossen werden kann. Somit kann auch auf die lediglich mit we­nigen Stichworten (Pleuraerguss, Entlassung Reha, Entlassung Hosp.) versehene Einschätzung der Arbeitsfähigkeit des RAD Rhone nicht ab­gestellt werden. Vielmehr müsste die Arbeitsfähigkeit (in der bisheri­gen oder einer angepassten Tätigkeit) aufgrund einer multidiszipli­nä­ren Abklärung, bei welcher die Einschränkungen aufgrund der viel­sei­tigen gesundheitlichen Probleme der Beschwerdeführerin zu berück­sich­tigen sind, festgestellt werden. Die IVSTA hat somit den Sach­ver­halt unvollständig ermittelt. Die Beschwerde ist daher teilweise gutzu­heissen und die angefochtene Verfügung ist aufzuheben. Die Sache ist an die IVSTA zurückzuweisen, damit diese eine polydisziplinäre Ab­klärung durchführe und die Einschränkung der Arbeitsfähigkeit der Be­schwerdeführerin ermittle respektive den Invaliditätsgrad festlege.</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Eine Rückweisung gilt praxisgemäss als Obsiegen der beschwerde­führenden Partei (BGE 132 V 215 E. 6), so dass der Beschwerde­führe­rin keine Verfahrenskosten aufzuerlegen sind. Ihr ist der ge­leiste­te Kostenvorschuss in der Höhe von Fr. 300.-- nach Eintritt der Rechts­kraft des vorliegenden Entscheids auf ein von ihr bekannt zu ge­ben­des Konto zurückzuerstatten.Der unterliegenden Vorinstanz sind keine Verfahrenskosten aufzu­er­legen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ist vorliegend anwaltlich ver­treten. Ihr ist da­her eine Par­teientschädi­gung für die ihr entstande­nen not­wen­digen Kos­ten zuzu­sprechen. Da keine Kostennote einge­reicht wurde, ist die Partei­ent­schädigung auf­grund der Akten festzu­setzen (Art. 14 Abs. 2 VGKE). Eine Parteient­schädigung in der Höhe von Fr. 1'800.- erscheint unter Berücksichtigung des aktenkundigen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