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C-6787/2009 vom 15. September 2011</w:t>
      </w:r>
    </w:p>
    <w:p>
      <w:r>
        <w:t>Bundesverwaltungsgericht, 2011-09-15, DE</w:t>
      </w:r>
    </w:p>
    <w:p>
      <w:r>
        <w:rPr>
          <w:b/>
        </w:rPr>
        <w:t xml:space="preserve">Quelle: </w:t>
      </w:r>
      <w:r>
        <w:t>https://mcp.opencaselaw.ch/entscheid/bvger_C-6787_2009</w:t>
      </w:r>
    </w:p>
    <w:p>
      <w:r>
        <w:t>FR: TAF C-6787/2009 du 15 septembre 2011</w:t>
      </w:r>
    </w:p>
    <w:p>
      <w:r>
        <w:t>IT: TAF C-6787/2009 del 15 settembre 2011</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sodass sie im Sinne von Art. 59 ATSG beschwerdelegitimiert ist.</w:t>
      </w:r>
    </w:p>
    <w:p>
      <w:r>
        <w:rPr>
          <w:b/>
        </w:rPr>
        <w:t>E. 1.4</w:t>
      </w:r>
    </w:p>
    <w:p>
      <w:r>
        <w:t>Da die Beschwerde im Übrigen frist- und formgerecht (Art. 60 ATSG und Art. 52 VwVG) eingereicht wurde, ist darauf einzutreten.</w:t>
      </w:r>
    </w:p>
    <w:p>
      <w:r>
        <w:rPr>
          <w:b/>
        </w:rPr>
        <w:t>E. 2.1</w:t>
      </w:r>
    </w:p>
    <w:p>
      <w:r>
        <w:t>Nach der Rechtsprechung stellt das Sozialversicherungsgericht bei der Beurteilung einer Streitsache in der Regel auf den bis zum Zeitpunkt des Erlasses des streitigen Entscheides (hier: 9. Oktober 2009)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Sachverhalts Geltung hatten (BGE 130 V 329 E. 2.3). Für das vorliegende Verfahren ist deshalb das per 1. Januar 2003 in Kraft getretene ATSG sowie das AHVG, die Verordnung vom 31. Oktober 1947 über die Alters- und Hinterlassenenversicherung (AHVV, SR 831.101) und die Verordnung vom 26. Mai 1961 über die freiwillige Alters-, Hinterlassenen- und Invalidenversicherung (VFV, SR 831.111) anwendbar.</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zu prüfen, ob die SAK den Beitrag der Beschwerdeführerin für das Jahr 2008 zu Recht amtlich festgesetzt hat und, falls ja, ob dieser korrekt ermittelt worden ist.</w:t>
      </w:r>
    </w:p>
    <w:p>
      <w:r>
        <w:rPr>
          <w:b/>
        </w:rPr>
        <w:t>E. 3.1.1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3.1.2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3.1.3</w:t>
      </w:r>
    </w:p>
    <w:p>
      <w:r>
        <w:t>Die Versicherten sind gehalten, der Auslandsvertretung, der Ausgleichskasse und der IV-Stelle für Versicherte im Ausland alle zur Durchführung der freiwilligen Versicherung benötigten Angaben zu machen und auf Verlangen deren Richtigkeit zu belegen (Art. 5 VFV).</w:t>
      </w:r>
    </w:p>
    <w:p>
      <w:r>
        <w:rPr>
          <w:b/>
        </w:rPr>
        <w:t>E. 3.1.4</w:t>
      </w:r>
    </w:p>
    <w:p>
      <w:r>
        <w:t>Die Versicherten haben der Ausgleichskasse innert 30 Tagen nach Ablauf des Beitragsjahres die für die Beitragsfestsetzung erforderlichen Angaben zu liefern (Art. 14b Abs. 1 VFV). Die Ausgleichskasse setzt die für das Beitragsjahr geschuldeten Beiträge spätestens bis zum 30. Juni des Folgejahres mittels Verfügung fest. Hat die versicherte Person von der Möglichkeit Gebrauch gemacht, Akontozahlungen zu leisten, nimmt die Ausgleichskasse den Ausgleich vor (Art. 14b Abs. 2 VFV).</w:t>
      </w:r>
    </w:p>
    <w:p>
      <w:r>
        <w:rPr>
          <w:b/>
        </w:rPr>
        <w:t>E. 3.1.5</w:t>
      </w:r>
    </w:p>
    <w:p>
      <w:r>
        <w:t>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(Art. 17 Abs. 1 VFV). Der Beweis der Tatsache sowie des Zeitpunktes der Zustellung obliegt der Verwaltung. Weil der Sozialversicherungsprozess von der Untersuchungsmaxime beherrscht wird, handelt es sich dabei nicht um die subjektive Beweisführungslast (Art. 8 ZGB), sondern in der Regel nur um die sogenannte objektive Beweislast in dem Sinne, dass im Falle der Beweislosigkeit der Entscheid zu Ungunsten jener Partei ausfällt, die aus dem unbewiesen gebliebenen Sachverhalt Rechte ableiten wollte (BGE 103 V 65 E. 2a mit weiteren Hinweisen). Der Nachweis der Zustellung eingeschriebener Sendungen kann durch Empfangsbescheinigungen gesichert werden.</w:t>
      </w:r>
    </w:p>
    <w:p>
      <w:r>
        <w:rPr>
          <w:b/>
        </w:rPr>
        <w:t>E. 3.2</w:t>
      </w:r>
    </w:p>
    <w:p>
      <w:r>
        <w:t>Die Vorinstanz macht geltend, die Beschwerdeführerin sei mit Schreiben vom 9. März 2009 gemahnt worden, die fehlenden Unterlagen einzureichen; sie räumt jedoch ein, der Nachweis der Zustellung der Mahnung könne nicht mehr erbracht werden. Die Beschwerdeführerin bestreitet, die Mahnung erhalten zu haben (act. 9). Demnach kann festgehalten werden, dass die Vorinstanz keinen rechtsgenüglichen Nachweis für die Zustellung der Mahnung vom 9. März 2009 erbracht hat.</w:t>
      </w:r>
    </w:p>
    <w:p>
      <w:r>
        <w:rPr>
          <w:b/>
        </w:rPr>
        <w:t>E. 3.3</w:t>
      </w:r>
    </w:p>
    <w:p>
      <w:r>
        <w:t>Die Vorinstanz bringt weiter vor, spätestens mit Erhalt der Beitragsverfügung für das Jahr 2008 sei die Beschwerdeführerin im Bilde gewesen, dass die SAK die Einkommens- und Vermögenserklärung 2008 nicht erhalten habe. Die Beschwerdeführerin habe in der Folge die Erklärung über Einkommen und Vermögen zwecks Festsetzung der Beiträge 2008 eingereicht. Angaben zum Einkommen und Belege zu den gemachten Angaben hätten vollumfänglich gefehlt. Eine ordentliche Veranlagung anlässlich des Einspracheverfahrens sei auch auf dieser Grundlage nicht möglich gewesen, weshalb die Einsprache am 9. Oktober 2010 habe abgewiesen werden müssen. Beschwerdeweise werde neu die Lohnbestätigung der "LS Finansiële Dienste/LS Financial Services" vom 20. Oktober 2009 ins Recht gelegt. Diese Erwerbstätigkeit sei bisher nirgends erwähnt gewesen. Weiterhin fehlten Angaben zum Einkommen im Zusammenhang mit der Y._______ Lodge. Mit dieser Argumentation verkennt die Vorinstanz, dass gemäss Art. 17 Abs. 1 VFV beim Fehlen der nötigen Angaben zur Beitragsfestsetzung zu mahnen und eine Nachfrist von 30 Tagen anzusetzen ist (vgl. E. 3.1.5 hiervor). Da die Vorinstanz keinen Nachweis für die Zustellung der Mahnung vom 9. März 2009 erbringen konnte (vgl. E. 3.2 hiervor), hätte sie nach Erhalt der Erklärung über Einkommen und Vermögen zwecks Festsetzung der Beiträge 2008 aufgrund der - ihrer Auffassung nach - nach wie vor fehlenden nötigen Angaben zur Beitragsfestsetzung die Beschwerdeführerin gestützt auf Art. 17 Abs. 1 VFV erneut unter Ansetzung einer Nachfrist mahnen müssen. Dies ist vorliegend jedoch nicht erfolgt.</w:t>
      </w:r>
    </w:p>
    <w:p>
      <w:r>
        <w:rPr>
          <w:b/>
        </w:rPr>
        <w:t>E. 3.4</w:t>
      </w:r>
    </w:p>
    <w:p>
      <w:r>
        <w:t>Zusammenfassend ist festzuhalten, dass die Vorinstanz die Beschwerdeführerin nicht rechtsgenüglich im Sinne von Art. 17 Abs. 1 VFV gemahnt hat, weshalb die erfolgte amtliche Einschätzung zu Unrecht erfolgte. Die Beschwerde ist daher gutzuheissen und der angefochtene Einspracheentscheid vom 9. Oktober 2009 aufzuheben. Die Sache ist an die Vorinstanz zurückzuweisen, damit diese die Beschwerdeführerin ordnungsgemäss auffordere, die nötigen Unterlagen einzureichen (sofern dies nicht bereits geschehen ist), um anschliessend die Höhe des Beitrages für das Jahr 2008 festzulegen.</w:t>
      </w:r>
    </w:p>
    <w:p>
      <w:r>
        <w:rPr>
          <w:b/>
        </w:rPr>
        <w:t>E. 4</w:t>
      </w:r>
    </w:p>
    <w:p>
      <w:r>
        <w:t>Zu befinden bleibt noch über die Verfahrenskosten und eine allfällige Parteientschädigung.</w:t>
      </w:r>
    </w:p>
    <w:p>
      <w:r>
        <w:rPr>
          <w:b/>
        </w:rPr>
        <w:t>E. 4.1</w:t>
      </w:r>
    </w:p>
    <w:p>
      <w:r>
        <w:t>Das Verfahren ist für die Parteien kostenlos (Art. 85bis Abs. 2 AHVG), sodass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Da der obsiegenden Beschwerdeführerin, welche nicht vertreten war, keine unverhältnismässig hohen Kosten entstanden sind und diese zu Recht keinen entsprechenden Antrag gestellt hat, ist ihr keine Parteientschädigung zuzusprechen (vgl. Art. 64 Abs. 1 VwVG und Art. 7 ff. des Reglements vom 21. Februar 2008 über die Kosten und Entschädigungen vor dem Bundesverwaltungsgericht [VGKE, SR 173.320.2]). Die unterliegende SAK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