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C-6781/2008 vom 21. Juli 2009</w:t>
      </w:r>
    </w:p>
    <w:p>
      <w:r>
        <w:t>Bundesverwaltungsgericht, 2009-07-21, DE</w:t>
      </w:r>
    </w:p>
    <w:p>
      <w:r>
        <w:rPr>
          <w:b/>
        </w:rPr>
        <w:t xml:space="preserve">Quelle: </w:t>
      </w:r>
      <w:r>
        <w:t>https://mcp.opencaselaw.ch/entscheid/bvger_C-6781_2008</w:t>
      </w:r>
    </w:p>
    <w:p>
      <w:r>
        <w:t>FR: TAF C-6781/2008 du 21 juillet 2009</w:t>
      </w:r>
    </w:p>
    <w:p>
      <w:r>
        <w:t>IT: TAF C-6781/2008 del 21 luglio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einer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Der Bundesbeschluss vom 17. Dezember 2004 über die Genehmigung und die Umsetzung der bilateralen Abkommen zwischen der Schweiz und der EU über die Assoziierung an Schengen und an Dublin (SR 362) wurde in der Volksabstimmung vom 5. Juni 2005 angenommen.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Durch die Übernahme des Schengen-Besitzstandes wurden im Bundesgesetz vom 16. Dezember 2005 über die Ausländerinnen und Ausländer (AuG, SR 142.20) entsprechende Anpassungen notwendig (vgl. u.a. Art. 2 Abs. 4 AuG, wonach die Bestimmungen über das Visumverfahren und über die Ein- und Ausreise nur gelten, sofern das Schengen-Recht keine abweichenden Bestimmungen enthält). Im Weiteren ist die Verordnung vom 24. Oktober 2007 über das Einreise- und Visumverfahren (VEV, AS 2007 5537) total revidiert worden (vgl. Verordnung vom 22. Oktober 2008 über die Einreise und die Visumerteilung [VEV, SR 142.204]). Art. 57 VEV sieht vor, dass hängige Verfahren nach dem neuen, übergeordneten (Schengen-)Recht fortgeführt werden.</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kosovarischer Staatsangehöriger unterliegt der Gesuchsteller damit der Visumspflicht.</w:t>
      </w:r>
    </w:p>
    <w:p>
      <w:r>
        <w:rPr>
          <w:b/>
        </w:rPr>
        <w:t>E. 7</w:t>
      </w:r>
    </w:p>
    <w:p>
      <w:r>
        <w:t>Das Bundesamt verweigerte dem Gesuchsteller die Visumserteilung insbesondere mit der Begründung, dass angesichts der im Vergleich mit der Schweiz schlechteren Lebensbedingungen im Kosovo keine genügende Gewähr für seine gesicherte Wiederausreise bestehen würde.</w:t>
      </w:r>
    </w:p>
    <w:p>
      <w:r>
        <w:rPr>
          <w:b/>
        </w:rPr>
        <w:t>E. 7.1</w:t>
      </w:r>
    </w:p>
    <w:p>
      <w:r>
        <w:t>Geht es um die Prüfung des Kriteriums der gesicherten Wiederausreise, so können bezüglich eines solchen künftigen Verhaltens keine gesicherten Feststellungen, sondern lediglich Prognosen getroffen werden. Anhaltspunkte für die Beurteilung der gesicherten Wiederausreise können sich aus der allgemeinen Lage im Herkunftsland der Besucherin oder des Besuchers ergeben. In diesem Rahmen ist bei Einreisegesuchen von Personen aus Staaten beziehungsweise Regionen mit politisch oder wirtschaftlich vergleichsweise ungünstigen Verhältnissen zu berücksichtigen, dass deren persönliche Interessenlage in solchen Fällen häufig nicht mit dem Ziel und Zweck einer zeitlich befristeten Einreisebewilligung in Einklang steht.</w:t>
      </w:r>
    </w:p>
    <w:p>
      <w:r>
        <w:rPr>
          <w:b/>
        </w:rPr>
        <w:t>E. 7.2</w:t>
      </w:r>
    </w:p>
    <w:p>
      <w:r>
        <w:t>Der Gesuchsteller lebt im inzwischen unabhängigen und von der Schweiz als Staat anerkannten Kosovo. Die Sicherheitslage in dieser Region konnte zwar im Verlaufe der letzten Jahre weitgehend stabilisiert werden und der Wiederaufbau von Administration und Infrastruktur ist unter Beteiligung internationaler Organisationen und Staatengemeinschaften in Gang gekommen. In wirtschaftlicher Hinsicht ist das Land jedoch eines der ärmsten in Europa. Das Wirtschaftswachstum hat sich nach einem zunächst starken Aufschwung ab dem Jahre 2000 (21.2 %) auf ein längerfristig haltbares Niveau abgeflacht (2007: 3.9 %; geschätzte 5.4 % für 2008). Die Arbeitslosigkeit ist weit verbreitet und die entsprechende Rate bleibt hartnäckig hoch: Gemäss den letzten offiziellen Zahlen betrug sie im Jahre 2007 immer noch 43.6 % (2006: 44.9 %). Besonders problematisch ist sie dabei insbesondere bei der jungen Bevölkerung. Zudem stellt die Armut ein weitverbreitetes Phänomen dar: Der Anteil der in Armut lebenden Bevölkerung lag im Jahr 2008 bei hohen circa 45%, wobei 15% der Staatsbürger gar von extremer Armut betroffen sind (Quelle: Weltbank, http://www.worldbank.org, Countries &gt; Europe and Central Asia &gt; Kosovo &gt; Overview &gt; Kosovo Brief, Stand: April 2009, besucht am 23. Juni 2009). Vor diesem Hintergrund besteht ein vielfacher Wunsch zur Auswanderung, der sich vor allem bei denjenigen manifestiert, die bereits über ein minimales soziales Beziehungsnetz im Ausland verfügen. Im Falle der Schweiz führt dies angesichts der restriktiven ausländerrechtlichen Zulassungsregelung nicht selten zur Umgehung ausländerrechtlicher Bestimmungen. Dabei geht es nicht etwa allein um die Einreichung von Asylgesuchen nach erfolgter Einreise, sondern es wird oftmals versucht, den Aufenthalt zu verlängern oder - beispielsweise durch Ausbildung oder Heirat - auf eine andere migrationsrechtliche Grundlage zu stellen.</w:t>
      </w:r>
    </w:p>
    <w:p>
      <w:r>
        <w:rPr>
          <w:b/>
        </w:rPr>
        <w:t>E. 8</w:t>
      </w:r>
    </w:p>
    <w:p>
      <w:r>
        <w:t>Die geschilderten Umstände im Herkunftsland des Gesuchstellers deuten zwar auf ein latentes Risiko einer nicht fristgerechten Wiederausreise hin; sie entbinden die Vorinstanz bei der Analyse des Migrationsrisikos jedoch nicht von einer einzelfallbezogenen Beurteilung. Namentlich können berufliche, gesellschaftliche oder familiäre Verpflichtungen die Prognose für eine anstandslose Wiederausreise begünstigen. Umgekehrt muss bei einer gesuchstellenden Person, die keine der erwähnten Verpflichtungen hat, welche sie von einer möglichen Emigration abhalten könnten, aufgrund entsprechender Erfahrungen das Risiko eines ausländerrechtlich nicht vorschriftsgemässen Verhaltens nach bewilligter Einreise zu einem Besuchsaufenthalt als hoch eingeschätzt werden. Der Gesuchsteller ist 24-jährig, ledig und kinderlos. Gemäss den Angaben der Beschwerdeführenden im Zusammenhang mit den im Hinblick auf einen allfälligen Besuchsaufenthalt getroffenen Abklärungen lebt der Gesuchsteller in häuslicher Gemeinschaft mit seinen Eltern. Besondere familiäre Verpflichtungen seinerseits werden jedoch in diesem Zusammenhang nicht geltend gemacht. Aus der Beschwerdeschrift kann geschlossen werden, dass die Beschwerdeführerin neben dem Gesuchsteller noch mindestens einen weiteren Bruder hat, von dem anzunehmen ist, dass er sich ebenfalls um eine allenfalls notwendige Pflege und Betreuung der Eltern kümmern könnte. Von einer besonderen Verwurzelung des Gesuchstellers im Herkunftsland, welche die Prognose einer fristgerechten Wiederausreise nach einem Besuchsaufenthalt begünstigen könnte, kann daher in diesem Zusammenhang nicht gesprochen werden. Der Vater des Gesuchstellers ist - gemäss den Angaben der Beschwerdeführenden - Lehrer. In Bezug auf die wirtschaftlichen Verhältnisse der Familie ist jedoch nichts bekannt. Die Kosten des beabsichtigten Aufenthalts in der Schweiz sollen gemäss Visumsantrag vom 7. August 2008 jedenfalls von der Beschwerdeführerin getragen werden. Es kann daher nicht davon ausgegangen werden, dass der Gesuchsteller im Herkunftsland in so günstigen und stabilen wirtschaftlichen Verhältnissen lebt, dass daraus auf eine günstige Prognose hinsichtlich einer gesicherten Wiederausreise geschlossen werden könnte. Aus den eingereichten Unterlagen geht hervor, dass der Gesuchsteller seit dem Jahre 2004 und noch im Juli 2008 an der Philosophischen Fakultät der Universität Pristina in der Studienrichtung Geschichte immatrikuliert war. Ob er dieses Studium zwischenzeitlich abgeschlossen hat, ist nicht bekannt; aufgrund des Umstands, dass die dafür vorgesehene Studiendauer 7 Semester bzw. 3.5 Jahre beträgt, wäre dies aber sehr wohl möglich. Von einer beruflichen Verpflichtung, welche den Gesuchsteller verlässlich von einer Emigration abzuhalten vermöchte, kann bei dieser Ausgangslage nicht ausgegangen werden. Insgesamt lässt die Aktenlage somit weder auf besondere berufliche noch familiäre oder gesellschaftliche Verpflichtungen des Gesuchstellers im Herkunftsland schliessen, welche eine günstige Prognose in Bezug auf seine gesicherte Wiederausreise zulassen würden. In diesem Zusammenhang ist auch zu berücksichtigen, dass der Gesuchsteller mit der Beschwerdeführerin - seiner Schwester - bereits über eine wichtige Bezugsperson in der Schweiz verfügt. Zudem leben gemäss den Angaben der Beschwerdeführenden noch weitere Verwandte (mindestens zwei Cousins des Vaters der Beschwerdeführerin und des Gesuchstellers) in der Schweiz. Dieser würde somit hierzulande bereits in einem gewissen Umfang über ein soziales Beziehungsnetz verfügen.</w:t>
      </w:r>
    </w:p>
    <w:p>
      <w:r>
        <w:rPr>
          <w:b/>
        </w:rPr>
        <w:t>E. 9</w:t>
      </w:r>
    </w:p>
    <w:p>
      <w:r>
        <w:t>Unter den geschilderten Umständen durfte die Vorinstanz somit zu Recht davon ausgehen, es bestehe nicht genügend Gewähr für eine gesicherte Wiederausreise nach einem Besuchsaufenthalt. Daran ändert auch nichts, dass die Beschwerdeführenden diese zugesichert haben, ist doch eine solche Garantie weder faktisch noch rechtlich durchsetzbar. Gastgeber können für gewisse finanzielle Risiken im Zusammenhang mit einem Besuchsaufenthalt garantieren, nicht jedoch für ein bestimmtes Verhalten des Gastes (vgl. anstelle vieler: Urteil des Bundesverwaltungsgerichts C-6950/2007 vom 7. November 2008, E. 8).</w:t>
      </w:r>
    </w:p>
    <w:p>
      <w:r>
        <w:rPr>
          <w:b/>
        </w:rPr>
        <w:t>E. 10</w:t>
      </w:r>
    </w:p>
    <w:p>
      <w:r>
        <w:t>Aus diesen Darlegungen folgt, dass die angefochtene Verfügung im Lichte von Art. 49 VwVG rechtmässig ist. Die Beschwerde ist daher abzuweisen.</w:t>
      </w:r>
    </w:p>
    <w:p>
      <w:r>
        <w:rPr>
          <w:b/>
        </w:rPr>
        <w:t>E. 11</w:t>
      </w:r>
    </w:p>
    <w:p>
      <w:r>
        <w:t>Bei diesem Ausgang des Verfahrens sind die auf Fr. 600.- festzusetzenden Verfahrenskosten den Beschwerdeführenden aufzuerlegen (Art. 63 Abs. 1 VwVG i.V.m. Art. 1, Art. 2 und Art. 3 Bst. b des Reglements vom 21. Februar 2008 über die Kosten und Entschädigungen vor dem Bundesverwaltungsgericht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