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C-6781/2007 vom 23. Juni 2009</w:t>
      </w:r>
    </w:p>
    <w:p>
      <w:r>
        <w:t>Bundesverwaltungsgericht, 2009-06-23, FR</w:t>
      </w:r>
    </w:p>
    <w:p>
      <w:r>
        <w:rPr>
          <w:b/>
        </w:rPr>
        <w:t xml:space="preserve">Quelle: </w:t>
      </w:r>
      <w:r>
        <w:t>https://mcp.opencaselaw.ch/entscheid/bvger_C-6781_2007</w:t>
      </w:r>
    </w:p>
    <w:p>
      <w:r>
        <w:t>FR: TAF C-6781/2007 du 23 juin 2009</w:t>
      </w:r>
    </w:p>
    <w:p>
      <w:r>
        <w:t>IT: TAF C-6781/2007 del 23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3.3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3.4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4</w:t>
      </w:r>
    </w:p>
    <w:p>
      <w:r>
        <w:t>En l'espèce, A._______ est arrivée clandestinement en Suisse à l'âge de 13 ans et demi, dans le but de rejoindre sa tante et tutrice "officieuse" ainsi que les enfants de celle-ci. Toutefois, elle est aujourd'hui âgée de 22 ans et a suivi sa propre trajectoire personnelle. En premier lieu, le TAF relève que A._______ a été scolarisée plusieurs années dans le canton de Vaud, y compris durant toute la période déterminante de son adolescence. Comme le Tribunal fédéral l'a relevé, la scolarité correspondant à la période de l'adolescence contribue de manière décisive à l'intégration de l'enfant dans une communauté socioculturelle déterminée, car avec l'acquisition proprement dite de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une certaine durée, ait atteint un certain niveau et se soit soldée par un résultat positif (ATF 123 II 125 consid. 4b p. 130, arrêt du Tribunal fédéral 2A.718/2006 du 21 mars 2007 consid. 3, arrêt du Tribunal administratif fédéral C-332/2006 du 27 mars 2009 consid. 3.3). Ces considérations, que le TAF fait siennes, gardent toute leur pertinence, d'autant que, dans le cas présent, la recourante s'est bien intégrée au plan scolaire dès son arrivée en Suisse (cf. arrêt du TA du 13 juin 2006 consid. 4d). En outre, dès l'âge de 18 ans, elle s'est confrontée au monde du travail en débutant une activité d'aide infirmière au CHUV, d'abord en tant que préstagiaire, puis de manière répétée durant les mois d'été 2005 à 2007 comme étudiante remplaçante, pour finalement décrocher un contrat de travail de durée indéterminée à partir du 1er novembre 2007 en qualité d'employée d'hôpital. Ainsi, bien qu'elle ait été soutenue durant quelques mois (en 2006) par le Centre social régional, elle a réussi à gagner peu à peu son autonomie financière, sans pour autant s'endetter. Elle réalise dorénavant un revenu brut d'environ Fr. 4'000.--, qui lui permet d'assumer le loyer de son appartement et de suivre sa propre voie. S'il ne ressort pas du dossier que les services sociaux lui aient réclamé le remboursement de l'assistance fournie, le Tribunal ne doute point que, dans une telle hypothèse, la recourante se ferait un devoir d'y donner suite, démontrant par là son respect de l'ordre juridique suisse et son attachement au système de valeurs helvétiques. A cela s'ajoute que A._______ a fait preuve de constance dans sa volonté d'exercer dans une profession paramédicale, où elle donne pleine et entière satisfaction à son employeur qui relève l'excellent contact qu'elle a tant avec les patients qu'avec ses collègues et supérieurs hiérarchiques, témoin de sa très bonne intégration dans le domaine des soins (cf. lettre de l'administration des ressources humaines du CHUV du 17 mars 2009). Au cours des neuf années passées à Lausanne, la recourante s'est ainsi pleinement adaptée au mode de vie helvétique, en démontrant une réelle volonté de se former et de réaliser les objectifs qu'elle s'était fixés. Certes, la recourante, encore mineure, était venue rejoindre sa tante en Suisse en juillet 2000. Les liens qui l'unissent à B._______ et à ses deux fils, s'ils existent encore, tendent pourtant logiquement à s'amenuiser depuis que la recourante a atteint sa majorité. Dans son arrêt du 13 juin 2006, le TA avait déjà estimé judicieux de traiter différemment le destin de la recourante de celui de B._______ et de ses enfants. Ce choix paraît s'imposer plus encore aujourd'hui dès lors que ces derniers ont, entre-temps, fait l'objet d'une décision cantonale de renvoi en force, étendue le 13 août 2007 à tout le territoire de la Confédération, et que la recourante est désormais une jeune femme adulte, active dans le monde professionnel, qui mène sa vie privée de manière toujours plus indépendante et qui a su adopter un comportement responsable, lequel n'a jamais donné lieu à des plaintes. Partant, au vu des considérations qui précèdent, le Tribunal est d'avis qu'un départ de Suisse de la recourante, après une intégration réussie tant au niveau scolaire que professionnel, serait d'une rigueur excessive (cf. dans ce sens arrêt du Tribunal administratif fédéral C-245/2006 du 18 avril 2008 consid. 4.5.3 et jurisprudence citée). Le recours de A._______ doit donc être admis, la décision attaquée annulée et la prénommée mise au bénéfice d'une exception aux mesures de limitation au sens de l'art. 13 let. f OLE.</w:t>
      </w:r>
    </w:p>
    <w:p>
      <w:r>
        <w:rPr>
          <w:b/>
        </w:rPr>
        <w:t>E. 5</w:t>
      </w:r>
    </w:p>
    <w:p>
      <w:r>
        <w:t>Bien qu'elle succombe, l'autorité inférieure n'a pas à supporter de frais de procédure (art. 63 al. 2 PA). Obtenant gain de cause, la recourante n'a pas à supporter de frais de procédure (art. 63 al. 1 a contrario et al. 3 PA) et a droit à des dépens (art. 64 al. 1 PA en relation avec l'art. 7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700.--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