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C-6773/2008 vom 2. September 2010</w:t>
      </w:r>
    </w:p>
    <w:p>
      <w:r>
        <w:t>Bundesverwaltungsgericht, 2010-09-02, FR</w:t>
      </w:r>
    </w:p>
    <w:p>
      <w:r>
        <w:rPr>
          <w:b/>
        </w:rPr>
        <w:t xml:space="preserve">Quelle: </w:t>
      </w:r>
      <w:r>
        <w:t>https://mcp.opencaselaw.ch/entscheid/bvger_C-6773_2008</w:t>
      </w:r>
    </w:p>
    <w:p>
      <w:r>
        <w:t>FR: TAF C-6773/2008 du 2 septembre 2010</w:t>
      </w:r>
    </w:p>
    <w:p>
      <w:r>
        <w:t>IT: TAF C-6773/2008 del 2 settembre 2010</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de l'Office fédéral des assurances sociales [OFAS]).</w:t>
      </w:r>
    </w:p>
    <w:p>
      <w:r>
        <w:rPr>
          <w:b/>
        </w:rPr>
        <w:t>E. 3.4</w:t>
      </w:r>
    </w:p>
    <w:p>
      <w:r>
        <w:t>La décision litigieuse est datée du 26 septembre 2008. S'agissant du droit applicable, il convient encore de préciser qu'à partir du 1er janvier 2008, la présente procédure est régie par la teneur de la LAI modifiée par la novelle du du 6 octobre 2006 (5e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de la LAI et de son règlement d'exécution seront donc citées - sauf indication contraire - dans leur teneur en vigueur au 1er janvier 2008.</w:t>
      </w:r>
    </w:p>
    <w:p>
      <w:r>
        <w:rPr>
          <w:b/>
        </w:rPr>
        <w:t>E. 4</w:t>
      </w:r>
    </w:p>
    <w:p>
      <w:r>
        <w:t>Est litigieuse, en l'espèce, la question du droit du recourant à des mesures de réadaptation professionnelle, en particulier à un reclassement dans une nouvelle profession.</w:t>
      </w:r>
    </w:p>
    <w:p>
      <w:r>
        <w:rPr>
          <w:b/>
        </w:rPr>
        <w:t>E. 4.1</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restante. Selon l'al. 3 let. b de cette disposition, les mesures d'ordre professionnel (orientation professionnelle, formation professionnelle initiale, reclassement, placement, aide en capital) sont au nombre des mesures de réadaptation. Cette disposition est précisée par l'art. 6 RAI qui définit la notion de reclassement et précise les frais pris en charge par l'assureur social. L'assuré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ULRICH MEYER-BLASER, Rechtsprechung des Bundesgerichts zum IVG, Zurich 1997, ad. art. 17). La perte de gain est calculée selon les mêmes principes que ceux appliqués lors de la détermination du degré d'invalidité dans le cas du droit à une rente (Revue à l'attention des caisses de compensation [RCC] 1984 p. 95; VSI 200 p. 63). La rééducation dans la même profession est assimilée au reclassement (art. 17 al. 2 LAI). Selon l'art. 16 LPGA, la réadaptation est prioritaire par rapport à l'octroi de la rente, laquelle est versée dans la mesure où la réadaptation a échoué (cf. ATF 126 V 241 consid. 5, ATF 108 V 210 consid. 1d). Aux termes de l'art. 10 al. 2 LAI, les assurés ont droit aux mesures de réadaptation dès qu'elles sont indiquées en raison de leur âge et de leur état de santé.</w:t>
      </w:r>
    </w:p>
    <w:p>
      <w:r>
        <w:rPr>
          <w:b/>
        </w:rPr>
        <w:t>E. 4.2</w:t>
      </w:r>
    </w:p>
    <w:p>
      <w:r>
        <w:t>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2a, Pratique VSI 2000, p. 26; ATF 122 V 77 consid. 3b/bb; RCC 1992, p. 388; RCC 1988, p. 266; ATF 99 V 34, RCC 1974, p. 84; MICHEL VALTERIO, Droit et pratique de l'assurance-invalidité, Lausanne 1985, p. 136). La notion d'"équivalence approximative" se rapporte tout d'abord non pas au niveau de formation en tant que tel, mais aux possibilités de gain à prévoir après la réadaptation (ATF 122 V 77 consid. 3b/bb).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du Tribunal fédéral I.552/2006 du 13 juin 2007, consid. 3.2; Arrêt du Tribunal fédéral I.370/1998 du 26 août 1999 consid. 2, publié in VSI 2002 p. 111). L'assuré n'a pas droit aux meilleures mesures possibles dans les circonstances de son cas car la loi ne veut garantir la réadaptation que dans la mesure où elle est nécessaire mais aussi suffisante dans le cas d'espèce (ATF 124 V 108 consid 2b, VSI 2000 p. 26; VSI 2002 p. 109). Est généralement équivalente la profession exercée jusque là et non pas une formation professionnelle nettement supérieure ou qui dépasse les exigences moyennes (RCC 1988, p. 266 et p. 497; VALTERIO,, op. cit.). Comme toutes les mesures de réadaptation, les mesures de reclassement doivent être adéquates et il doit exister une proportion raisonnable entre les frais qu'elle entraîne et le résultat qu'on peut en attendre (RCC 1992, p. 388; ATF 110 V 99 consid. 2, RCC 1984 p. 287; ATF 103 V 16, RCC 1977, p. 345; JEAN-LOUIS DUC, Les assurances sociales en Suisse, Lausanne 1995, n° 603). Un reclassement n'est pas nécessité par l'invalidité notamment lorsque l'assuré est suffisamment réadapté et qu'il est possible qu'il prenne un emploi correspondant à ses aptitudes, sans formation supplémentaire (RCC 1963, p. 127).</w:t>
      </w:r>
    </w:p>
    <w:p>
      <w:r>
        <w:rPr>
          <w:b/>
        </w:rPr>
        <w:t>E. 4.3</w:t>
      </w:r>
    </w:p>
    <w:p>
      <w:r>
        <w:t>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émanant d'un SMR , s'il répond aux exigences d'une expertise médicale, également en ce qui concerne les qualifications médicales requises, a une valeur probante comparable à celle d'une autre expertise, quand bien même il ne tombe pas sous le coup de l'art. 44 LPGA (ATF 135 V 254 consid, 3.3.2).</w:t>
      </w:r>
    </w:p>
    <w:p>
      <w:r>
        <w:rPr>
          <w:b/>
        </w:rPr>
        <w:t>E. 5.1</w:t>
      </w:r>
    </w:p>
    <w:p>
      <w:r>
        <w:t>En l'espèce, l'OAIE a refusé des mesures d'ordre professionnel sous la forme de reclassement au recourant en se fondant sur l'examen clinique entrepris le 28 septembre 2007 par le Dr F._______ du SMR. Celui-ci retient que dans une activité non adaptée de boulanger l'incapacité de travail est totale depuis le 20 mars 2006 mais qu'elle est nulle dans une activité strictement adaptée à ses limitations fonctionnelles. Toutefois ce médecin note dans l'anamnèse que l'employeur actuel a adapté le poste de travail du recourant depuis quatre ans. Ainsi, le recourant n'est plus affecté huit heures d'affilée par jour au pétrin, ce qui nécessitait des flexions antérieures répétitives du tronc qui sont incompatibles avec les limitations fonctionnelles. Il s'occupe dès lors de l'enfournement et des viennoiseries. Ce travail implique le port de plateaux pouvant peser jusqu'à dix kilos (limitation fonctionnelle: 12 kg) mais il se fait en permanence debout (limitation fonctionnelle: alternance 3x/heure position debout/assise). Le Dr F._______ estime que dès lors la capacité de travail dans ce poste adapté est de 70%. Afin d'éviter une perte de salaire, l'employeur a proposé un aménagement interne consistant à travailler à 70% dans le poste de boulangerie adapté et 30% au secteur de nettoyage. Après une semaine, le recourant n'a pas reconduit l'essai qu'il jugeait préjudiciable à ses douleurs dorsales. Au demeurant, aucun avis médical ne vient corroborer l'exigibilité d'une activité de nettoyage à 30%. Selon son écriture de recours, il travaille toujours chez le même employeur mais à 70% depuis le 1er janvier 2009. Il sied encore de préciser que dans la description du poste de travail telle que l'employeur l'a établie en janvier 2007 (alors que le poste était déjà "allégé"), les efforts physiques sont définis comme importants.</w:t>
      </w:r>
    </w:p>
    <w:p>
      <w:r>
        <w:rPr>
          <w:b/>
        </w:rPr>
        <w:t>E. 5.2</w:t>
      </w:r>
    </w:p>
    <w:p>
      <w:r>
        <w:t>A l'époque du projet de décision litigieuse, le recourant était au bénéfice de l'aménagement mis en place (70% boulangerie 30% nettoyage) au sein de l'entreprise qui l'emploie, si bien qu'aucune perte de gain ne venait justifier l'octroi d'une mesure de reclassement. Cet essai ayant avorté, lors de la décision litigieuse, l'autorité s'est fondé sur une comparaison des revenus qui se basait sur le fait que que le recourant conserve une capacité de travail à 100% dans une activité légère adaptée à ses limitations fonctionnelles.</w:t>
      </w:r>
    </w:p>
    <w:p>
      <w:r>
        <w:rPr>
          <w:b/>
        </w:rPr>
        <w:t>E. 5.2.1</w:t>
      </w:r>
    </w:p>
    <w:p>
      <w:r>
        <w:t>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Arrêt du Tribunal fédéral 9C_651/2008 du 9 octobre 2009, consid. 6.1.2.1). Dans le cas particulier, le recourant exerçait la profession de boulanger pour laquelle il a perçu en 2007 un revenu de Fr. 62'838.50 (pce 50).</w:t>
      </w:r>
    </w:p>
    <w:p>
      <w:r>
        <w:rPr>
          <w:b/>
        </w:rPr>
        <w:t>E. 5.2.2</w:t>
      </w:r>
    </w:p>
    <w:p>
      <w:r>
        <w:t>S'agissant du salaire d'invalide, quand bien même le recourant continue à exercer son ancienne activité, l'autorité inférieure s'est référée aux données statistiques telles qu'elles résultent des chiffres de l'Enquête suisse sur la structure des salaires (ESS) de l'Office fédéral de la statistique (OFAS), singulièrement aux salaires bruts standardisés en se fondant sur la valeur médiane ou valeur centrale (ATF 126 V 75 consid. 3b/aa et bb; arrêt du Tribunal fédéral I 392/06 du 13 mars 2007 consid. 6.2). En effet, en application du principe général valable en assurance sociales qui impose à l'assuré l'obligation de diminuer le dommage et d'entreprendre de son propre chef tout ce qu'on peut attendre de lui afin d'atténuer autant que possible les conséquences de son invalidité (ATF 130 V 97 consid. 3.2. avec les références), il peut être exigé du recourant, même s'il serait toujours capable d'exercer partiellement son ancien travail, de changer d'activité. En l'occurrence, le salaire de référence est celui auquel pouvaient prétendre, en 2006, les hommes effectuant des activités simples et répétitives dans le secteur privé (production et services), à savoir Fr. 4'732.- par mois, part au 13ème salaire comprise (ESS 2006 tableau TA1, niveau de qualification 4), soit Fr 56'784.- par année. Comme les salaires bruts standardisés se basent sur un horaire de travail de 40 heures, ce salaire doit être converti à la moyenne usuelle dans les entreprises en 2006, soit 41,7 heures (cf. OFS, durée normale du travail dans les entreprises selon la division économique, en heures par semaine, T. 03.02.04.19), ce qui représente Fr. 59'197.-. Adapté à l'évolution des salaires de 2006 à 2007 (taux de variation de 1,6 %, cf. La Vie économique 11-2009, tableau B 10.2, p. 95), on aboutit à un revenu d'invalide de Fr. 60'144.- (et non de Fr. 60'226.- comme l'a retenu l'autorité qui a pris comme indice 2007 2049 alors qu'il est de 2047). Comme le recours aux salaires de l'ESS ne permet pas une appréciation très fine en fonction des groupes de professions particuliers ou des régions de travail, la jurisprudence permet de réduire le revenu hypothétique d'invalide, tel qu'il résulte des statistiques, afin de tenir compte du fait que les possibilités pour l'assuré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132 V 393 consid. 3.3, ATF 126 V 75 consid. 6, ATF 123 V 150 consid. 2 et les références). En l'espèce, l'OAIE a consenti un abattement de 10 % sur le revenu d'invalide de l'assuré pour tenir compte de ses limitations fonctionnelles et de son expérience dans un seul et même secteur. Cette argumentation n'est pas insoutenable, il n'y a donc pas lieu de s'en écarter; ce qui conduit à un revenu avec invalidité de Fr. 54'130.-.</w:t>
      </w:r>
    </w:p>
    <w:p>
      <w:r>
        <w:rPr>
          <w:b/>
        </w:rPr>
        <w:t>E. 5.2.3</w:t>
      </w:r>
    </w:p>
    <w:p>
      <w:r>
        <w:t>Le calcul comparatif des revenus fait apparaître un préjudice économique de 14 % (Fr. 62'838.50-54'130 X 100 /62838.50) une fois arrondi au pour-cent supérieure (ATF 130 V 122 consid. 3.2), pour une activité exigible à 100%. L'autorité inférieure a estimé que c'était insuffisant pour ouvrir le droit à un reclassement.</w:t>
      </w:r>
    </w:p>
    <w:p>
      <w:r>
        <w:rPr>
          <w:b/>
        </w:rPr>
        <w:t>E. 6.1</w:t>
      </w:r>
    </w:p>
    <w:p>
      <w:r>
        <w:t>Or, selon la jurisprudence, le critère de l'équivalence approximative des activités (cf. supra consid. 4.2) revêt un aspect non seulement quantitatif, mais également qualitatif (ATF 124 V 108 consid. 3b). Le revenu d'un salarié n'évolue pas de la même manière si celui-ci bénéficie ou non d'une formation professionnelle. Il faut considérer toutes les circonstances du cas pour comparer les possibilités de gain offertes par la profession initiale et celle de la nouvelle activité exigible, y compris la valeur qualitative des deux professions à comparer (ATF 124 V 108 consid. 3 avec les références citées, arrêt du Tribunal fédéral I 761/02 du 5 mars 2003 consid. 3.3). Comme le Tribunal fédéral l'a déjà constaté (cf. arrêts précités), les emplois non qualifiés sont plus précaires et davantage exposés en cas de crise conjoncturelle ou d'adaptation structurelle, il s'agit également d'en tenir compte.</w:t>
      </w:r>
    </w:p>
    <w:p>
      <w:r>
        <w:rPr>
          <w:b/>
        </w:rPr>
        <w:t>E. 6.2</w:t>
      </w:r>
    </w:p>
    <w:p>
      <w:r>
        <w:t>On ne saurait en l'espèce considérer sans discussion comme approximativement équivalente une activité non qualifiée avec la profession de boulanger que le recourant a apprise. S'il subit actuellement une perte de salaire supportable dans l'exercice d'une activité exigible; l'élément qui reste à déterminer est de savoir si les perspectives de gain et d'avancement professionnel sont approximativement les mêmes que dans la profession initiale. En effet, le recourant est encore relativement jeune et la durée de sa vie active encore longue.</w:t>
      </w:r>
    </w:p>
    <w:p>
      <w:r>
        <w:rPr>
          <w:b/>
        </w:rPr>
        <w:t>E. 6.3</w:t>
      </w:r>
    </w:p>
    <w:p>
      <w:r>
        <w:t>Il s'en suit que la décision doit être annulée et la cause renvoyée à l'autorité inférieure qui a insuffisamment pris en considération les circonstances du cas pour apprécier la notion d'équivalence définie par la jurisprudence. Il faut toutefois rappeler que le recourant n'aurait éventuellement droit qu'aux mesures de réadaptation d'ordre professionnel qui sont nécessaires (cf. supra consid. 4.1). Or, la nature et l'étendue de ces mesures ne sauraient être déterminées de manière abstraite. Il appartiendra à l'administration d'examiner quelle mesure serait susceptible de remplir ces critères au regard de la situation concrète.</w:t>
      </w:r>
    </w:p>
    <w:p>
      <w:r>
        <w:rPr>
          <w:b/>
        </w:rPr>
        <w:t>E. 7.1</w:t>
      </w:r>
    </w:p>
    <w:p>
      <w:r>
        <w:t>Compte tenu de l'issu du litige, il n'est pas perçu de frais de procédure (art. 63 al. 1 et 2 PA). En conséquence, l'avance de frais de Fr. 300.-- déjà versée par le recourant lui sera restituée sur le compte bancaire qu'il aura désigné, une fois le présent arrêt entré en force.</w:t>
      </w:r>
    </w:p>
    <w:p>
      <w:r>
        <w:rPr>
          <w:b/>
        </w:rPr>
        <w:t>E. 7.2</w:t>
      </w:r>
    </w:p>
    <w:p>
      <w:r>
        <w:t>A teneur de l'art. 64 PA, l'autorité de recours peut allouer, d'office ou sur requête, à la partie ayant entièrement ou partiellement gain de cause une indemnité pour les frais indispensables et relativement élevés qui lui ont été occasionnés. En l'espèce, le recourant s'est défendu seul, sans faire appel à un mandataire, et il n'est pas démontré qu'il a subi de ce fait des frais considérables. Partant,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