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C-6768/2010 vom 14. Oktober 2011</w:t>
      </w:r>
    </w:p>
    <w:p>
      <w:r>
        <w:t>Bundesverwaltungsgericht, 2011-10-14, FR</w:t>
      </w:r>
    </w:p>
    <w:p>
      <w:r>
        <w:rPr>
          <w:b/>
        </w:rPr>
        <w:t xml:space="preserve">Quelle: </w:t>
      </w:r>
      <w:r>
        <w:t>https://mcp.opencaselaw.ch/entscheid/bvger_C-6768_2010</w:t>
      </w:r>
    </w:p>
    <w:p>
      <w:r>
        <w:t>FR: TAF C-6768/2010 du 14 octobre 2011</w:t>
      </w:r>
    </w:p>
    <w:p>
      <w:r>
        <w:t>IT: TAF C-6768/2010 del 14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celles en vigueur à compter du 1er janvier 2008.</w:t>
      </w:r>
    </w:p>
    <w:p>
      <w:r>
        <w:rPr>
          <w:b/>
        </w:rPr>
        <w:t>E. 4.1</w:t>
      </w:r>
    </w:p>
    <w:p>
      <w:r>
        <w:t>La décision dont est recours fait suite à une première demande de rente ayant été rejetée par décision du 29 mai 2007 de l'OAIE, l'intéressé ayant été reconnu apte à exercer son ancienne activité de contrôleur de qualité dans l'industrie textile à 100%.</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l'espèce, l'OAIE a examiné du point de vue matériel la deuxième demande de prestations. Le Tribunal peut donc se limiter à examiner si le recourant remplit les conditions d'octroi d'une rente jusqu'au 24 août 2010,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dans la construction de 1977 à 1995. De 1995 à 2001 son activité n'est pas établie au dossier. De 2001 à 2006 il fut en interruption de travail suite à la pose d'une prothèse totale de la hanche droite en 2001, une demande de prestations AI alors déposée en 2003 fut rejetée le 29 mai 2007 du fait que le service médical de l'OAIE lui avait reconnu une pleine capacité de travail dans sa dernière activité de contrôleur de qualité exercée de février à août 2006. Il n'a plus repris d'activité lucrative après cette période de 7 mois en 2006.</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l'intéressé est principalement atteint dans sa santé par une importante obésité, des gonarthroses et des rachialgies. D'après la jurisprudence l'obésité ne constitue pas en soi une invalidité au sens de la loi. Elle joue en revanche un rôle dans l'assurance-invalidité lorsqu'elle a provoqué une maladie ou un accident qui entraîne une atteinte à la santé physique, mentale ou psychique ou si elle résulte elle-même d'une atteinte à la santé physique, mentale ou psychique qui a valeur de maladie et qu'ainsi la capacité de gain est sensiblement réduite et ne peut être augmentée de façon importante par des mesures raisonnablement exigibles (arrêts du Tribunal fédéral 9C_48/2009 du 1er octobre 2009 consid. 2.3 et I 757/06 du 5 juin 2007 consid. 5.1). Ainsi, selon les circonstances du cas particulier, l'obésité doit être considérée comme invalidante lorsqu'aucun traitement approprié ou aucun effort exigible ne pourrait ramener le poids à un niveau tel que celui-ci et ses conséquences éventuelles ne constitueraient plus une entrave permanente ou durable à la capacité de gain ou d'accomplir les travaux habituels (arrêt cité 9C_48/2009 consid. 2.3; Michel Valtério, Droit de l'assurance-vieillesse et survivants (AVS) et de l'assurance-invalidité (AI), Zurich 2011, n°1188). In casu l'obésité dont se prévaut l'assuré ne peut être retenue comme invalidante.</w:t>
      </w:r>
    </w:p>
    <w:p>
      <w:r>
        <w:rPr>
          <w:b/>
        </w:rPr>
        <w:t>E. 9.2</w:t>
      </w:r>
    </w:p>
    <w:p>
      <w:r>
        <w:t>Dans son rapport du 3 juin 2010, le Dr E._______ de l'OAIE a retenu une incapacité de travail de 30% dans l'activité ordinaire de l'intéressé notant que le problème principal de l'assuré était son obésité entraînant des problèmes articulaires au niveau des genoux et du rachis mais que de la physiothérapie et un traitement réductif de poids permettraient d'améliorer l'état de santé de l'intéressé et implicitement sa capacité de travail. Il indiqua par ailleurs que le rapport orthopédique établi par la Sécurité sociale portugaise était rudimentaire et ne permettait pas de fonder l'octroi d'une rente. Le Dr I._______ de l'OAIE releva toutefois dans un rapport du 17 décembre 2010 une aggravation du status en raison d'une gonarthrose gauche documentée pour la première fois le 9 avril 2010 et que celle-ci devait être nouvellement prise en compte entraînant une incapacité de travail de 70% dans l'activité ordinaire. Cette nouvelle appréciation de l'incapacité de travail liée à la gonarthrose gauche passant d'un 30% à un 70% dans l'activité de contrôleur dans l'industrie textile ne peut qu'être suivie par le Tribunal de céans. Cette atteinte existait cependant déjà antérieurement sous la forme d'une gonarthrose bilatérale, entravant ainsi non seulement le travail de maçon mais aussi celui dans l'industrie. À ce propos, il convient de relever que les modalités de l'exercice de l'activité de contrôle dans le dernier emploi de l'assuré ne sont pas connues mais que, selon les déclarations de l'intéressé, ce dernier a dû arrêter cette activité pour des raisons de santé. Il peut en revanche être retenu que l'intéressé a conservé depuis le 1er septembre 2006 une capacité de travail entière dans une activité permettant le changement de position exercée en position principalement assise. Il n'y a en effet dans le dossier aucune pièce permettant de contredire cette appréciation. Il s'ensuit qu'une capacité de travail à plein temps dans une activité légère adaptée, notamment manutentionnaire, est exigible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L'OAIE a effectué une comparaison de revenus sur la base de revenus portugais en Euros. Les résultats de cette comparaison de revenus sans et avec invalidité ont donné lieu à une perte de gain de 33.25% par référence à l'activité de contrôleur de qualité dans l'industrie textile et de 25.25% par référence à l'activité de maçon. Toutefois, l'intéressé a déclaré avoir interrompu son métier dans la construction pour des raisons de santé en 1995. Pour les mêmes motifs, il a dû interrompre son activité dans l'industrie textile en 2006 après seulement 7 mois. On retiendra par conséquent le dernier salaire dans la construction à titre de salaire sans invalidité, activité qu'il a du reste exercée de nombreuses années.</w:t>
      </w:r>
    </w:p>
    <w:p>
      <w:r>
        <w:rPr>
          <w:b/>
        </w:rPr>
        <w:t>E. 11.1</w:t>
      </w:r>
    </w:p>
    <w:p>
      <w:r>
        <w:t>En l'espèce il y a ainsi lieu de procéder à une évaluation de l'invalidité selon la méthode générale par une comparaison de revenus sur la base de l'Enquête suisse sur la structure des salaires 2006 indexés 2007 car il doit être admis que c'est théoriquement à compter du 1er septembre 2007 que l'intéressé aurait présenté une incapacité de travail déterminante portant l'ouverture du droit à la rente, soit une année après la survenance du cas d'assurance (cessation d'activité le 31 août 2006). En effet, selon la jurisprudence, les salaires avant et après invalidité doivent être pris en compte / indexés jusqu'à la date de la survenance du droit théorique éventuel à la rente suite au délai d'attente d'une année (ATF 128 V 174 et 129 V 222). Au surplus, par décision du 29 mai 2007, l'autorité inférieure avait nié tout droit aux prestations jusqu'à cette date, excluant ainsi qu'on puisse se référer à des années antérieures pour l'indexation.</w:t>
      </w:r>
    </w:p>
    <w:p>
      <w:r>
        <w:rPr>
          <w:b/>
        </w:rPr>
        <w:t>E. 11.2</w:t>
      </w:r>
    </w:p>
    <w:p>
      <w:r>
        <w:t>Le revenu de l'intéressé en 1995 n'est pas relevé au dossier et ne peut donc être indexé valeur 2007. A sa place il peut être retenu selon l'Enquête suisse sur la structure des salaires 2006 le revenu mensuel dans la construction niveau 3 (connaissances spécialisées) de Fr. 5'422.- (table TA1) pour 40 h./sem. indexé 2007 (+1.7%) à Fr. 5'514.17 pour 40 h./sem. et établi à Fr. 5'748.52 pour 41.7 h./sem. selon le temps de travail hebdomadaire dans la branche.</w:t>
      </w:r>
    </w:p>
    <w:p>
      <w:r>
        <w:rPr>
          <w:b/>
        </w:rPr>
        <w:t>E. 11.3</w:t>
      </w:r>
    </w:p>
    <w:p>
      <w:r>
        <w:t>Le salaire après invalidité doit être fixé sur la base des données statistiques résultant de l'Enquête suisse sur les salaires 2006 (table TA1) suivies d'une indexation 2007. En l'occurrence les activités de substitution possibles s'inscrivent dans la détermination du revenu médian toutes branches confondues dans le secteur privé pour des activités simples et répétitives (niveau 4) à 100%, soit Fr. 4'732.- pour 40 h./sem. et Fr. 4'933.11 pour 41.6 h./sem., sous déduction de 20% pour tenir compte de l'âge de l'assuré et de ses restrictions personnelles aux activités légères, soit Fr. 3'946.48. Indexé 2007 (+ 1.6%), ce montant s'élève à Fr. 4'009.63. De nombreuses activités d'entre elles peuvent être exercées sans efforts physiques, permettant des variations de position du dos, principalement en position assise et sans nécessité de déplacements importants de sorte que ces activités sont adaptées au handicap du recourant. De plus, la majeure partie de ces postes ne nécessite pas de formation particulière autre qu'une mise au courant initiale.</w:t>
      </w:r>
    </w:p>
    <w:p>
      <w:r>
        <w:rPr>
          <w:b/>
        </w:rPr>
        <w:t>E. 11.4</w:t>
      </w:r>
    </w:p>
    <w:p>
      <w:r>
        <w:t>En comparant le salaire avant invalidité de Fr. 5'748.52 avec celui après invalidité de Fr. 4'009.63, on obtient une perte de gain de 30.24% arrondie à 30% ([5'748.52 - 4'009.63] : 5'748.52 x 100). Même en tenant compte d'une indexation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13.1</w:t>
      </w:r>
    </w:p>
    <w:p>
      <w:r>
        <w:t>Compte tenu des circonstances qui ont motivé le recours, il n'est pas perçu de frais de procédure (art. 6 let. b du règlement du 21 février 2008 concernant les frais, dépens et indemnités fixés par le Tribunal administratif fédéral [FITAF, RS 173. 320.2]). L'avance de frais de Fr. 400.- dont s'est acquitté le recourant au cours de l'instruction lui est remboursée.</w:t>
      </w:r>
    </w:p>
    <w:p>
      <w:r>
        <w:rPr>
          <w:b/>
        </w:rPr>
        <w:t>E. 13.2</w:t>
      </w:r>
    </w:p>
    <w:p>
      <w:r>
        <w:t>N'étant pas représenté et n'ayant pas eu des frais indispensables et relativement élevés, le recourant n'a pas droit à une indemnité de dépens (art. 7 al. 1 FITAF). Les autorités fédérales n'ont pas non plus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