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C-6766/2025 vom 6. Januar 2026</w:t>
      </w:r>
    </w:p>
    <w:p>
      <w:r>
        <w:t>Bundesverwaltungsgericht, 2026-01-06, DE</w:t>
      </w:r>
    </w:p>
    <w:p>
      <w:r>
        <w:rPr>
          <w:b/>
        </w:rPr>
        <w:t xml:space="preserve">Quelle: </w:t>
      </w:r>
      <w:r>
        <w:t>https://mcp.opencaselaw.ch/entscheid/bvger_C-6766_2025</w:t>
      </w:r>
    </w:p>
    <w:p>
      <w:r>
        <w:t>FR: TAF C-6766/2025 du 6 janvier 2026</w:t>
      </w:r>
    </w:p>
    <w:p>
      <w:r>
        <w:t>IT: TAF C-6766/2025 del 6 gennaio 2026</w:t>
      </w:r>
    </w:p>
    <w:p>
      <w:pPr>
        <w:pStyle w:val="Heading2"/>
      </w:pPr>
      <w:r>
        <w:t>Regeste</w:t>
      </w:r>
    </w:p>
    <w:p>
      <w:r>
        <w:t>Zwangsanschluss an die Auffangeinrichtung</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die Beschwerdeführerin, die Vorinstanz, das BSV und die Oberaufsichtskommission BVG.</w:t>
      </w:r>
    </w:p>
    <w:p>
      <w:r>
        <w:t>Für die Rechtsmittelbelehrung wird auf die nächste Seite verwiesen.</w:t>
      </w:r>
    </w:p>
    <w:p>
      <w:r>
        <w:t>Die Einzelrichterin: Die Gerichtsschreiberin:</w:t>
      </w:r>
    </w:p>
    <w:p>
      <w:r>
        <w:t>Selin Elmiger-Necipoglu Nicole Nickerson</w:t>
      </w:r>
    </w:p>
    <w:p>
      <w:r>
        <w:t>C-6766/2025 Seite 6 Rechtsmittelbelehrung: Gegen diesen Entscheid kann innert 30 Tagen nach Eröffnung beim Bun- desgericht, Schweizerhofquai 6, 6004 Luzern, Beschwerde in öffentlich- 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 weismittel und die Unterschrift zu enthalten. Der angefochtene Entscheid und die Beweismittel sind, soweit sie die beschwerdeführende Partei in Händen hat, beizulegen (Art. 42 BGG).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