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C-6745/2008 vom 3. September 2010</w:t>
      </w:r>
    </w:p>
    <w:p>
      <w:r>
        <w:t>Bundesverwaltungsgericht, 2010-09-03, DE</w:t>
      </w:r>
    </w:p>
    <w:p>
      <w:r>
        <w:rPr>
          <w:b/>
        </w:rPr>
        <w:t xml:space="preserve">Quelle: </w:t>
      </w:r>
      <w:r>
        <w:t>https://mcp.opencaselaw.ch/entscheid/bvger_C-6745_2008</w:t>
      </w:r>
    </w:p>
    <w:p>
      <w:r>
        <w:t>FR: TAF C-6745/2008 du 3 septembre 2010</w:t>
      </w:r>
    </w:p>
    <w:p>
      <w:r>
        <w:t>IT: TAF C-6745/2008 del 3 settembre 2010</w:t>
      </w:r>
    </w:p>
    <w:p>
      <w:pPr>
        <w:pStyle w:val="Heading2"/>
      </w:pPr>
      <w:r>
        <w:t>Regeste</w:t>
      </w:r>
    </w:p>
    <w:p>
      <w:r>
        <w:t>Rente","Alters- und Hinterlassenenversicherung (Übriges)</w:t>
      </w:r>
    </w:p>
    <w:p>
      <w:pPr>
        <w:pStyle w:val="Heading2"/>
      </w:pPr>
      <w:r>
        <w:t>Erwägungen</w:t>
      </w:r>
    </w:p>
    <w:p>
      <w:r>
        <w:rPr>
          <w:b/>
        </w:rPr>
        <w:t>E. 1</w:t>
      </w:r>
    </w:p>
    <w:p>
      <w:r>
        <w:t>Die Beschwerde wird gutgeheissen, soweit darauf eingetreten werden kann. Der Einspracheentscheid vom 28. Dezember 2007 wird aufgehoben und die Sache wird zur materiellen Beurteilung der Einsprache vom 3. Dezember 2007 und anschliessendem Erlass eines neuen Einspracheentscheids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die Vorinstanz (Ref-Nr. _______ ) das Bundesamt für Sozialversicherungen die Schweizerische Ausgleichskasse (zur Kenntnisnahme; Ref-Nr. _______)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