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C-6737/2011 vom 23. Januar 2013</w:t>
      </w:r>
    </w:p>
    <w:p>
      <w:r>
        <w:t>Bundesverwaltungsgericht, 2013-01-23, FR</w:t>
      </w:r>
    </w:p>
    <w:p>
      <w:r>
        <w:rPr>
          <w:b/>
        </w:rPr>
        <w:t xml:space="preserve">Quelle: </w:t>
      </w:r>
      <w:r>
        <w:t>https://mcp.opencaselaw.ch/entscheid/bvger_C-6737_2011</w:t>
      </w:r>
    </w:p>
    <w:p>
      <w:r>
        <w:t>FR: TAF C-6737/2011 du 23 janvier 2013</w:t>
      </w:r>
    </w:p>
    <w:p>
      <w:r>
        <w:t>IT: TAF C-6737/2011 del 23 gennaio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2008, p. 181, ad ch. 3.197). Aussi peut-elle admettre ou rejeter le pourvoi pour d'autres motifs que ceux invoqués dans la décision entreprise. Dans son arrêt, elle prend en considération l'état de fait (cf. ATAF 2011/1 consid. 2) régnant au moment où elle statue.</w:t>
      </w:r>
    </w:p>
    <w:p>
      <w:r>
        <w:rPr>
          <w:b/>
        </w:rPr>
        <w:t>E. 3</w:t>
      </w:r>
    </w:p>
    <w:p>
      <w:r>
        <w:t>Dans la mesure où l'objet de la présente procédure porte sur une demande de réexamen qui a été déposée le 28 septembre 2011, soit après l'entrée en vigueur de la LEtr le 1er janvier 2008, c'est le nouveau droit qui doit trouver application en l'espèce (cf. arrêts du Tribunal fédéral 2C_638/2008 du 16 octobre 2008 consid. 1 et 2C_706/2008 du 13 octobre 2008 consid. 1), quand bien même la décision initiale dont le réexamen est demandé a été rendue sous l'empire de l'ancienne législation. Partant, il y a lieu d'examiner la décision du 10 novembre 2011 sur la base de l'art. 67 al. 2 LEtr, dans sa nouvelle teneur, telle qu'elle résulte de l'Arrêté fédéral portant approbation et mise en oeuvre de l'échange de notes entre la Suisse et la CE concernant la reprise de la directive CE sur le retour (directive 2008/115/CE) (Développement de l'acquis de Schengen), disposition qui est entrée en vigueur le 1er janvier 2011 (RO 2010 5925), voire sous l'angle de l'ALCP (cf. infra consid. 6).</w:t>
      </w:r>
    </w:p>
    <w:p>
      <w:r>
        <w:rPr>
          <w:b/>
        </w:rPr>
        <w:t>E. 4</w:t>
      </w:r>
    </w:p>
    <w:p>
      <w:r>
        <w:t>Selon l'art. 67 al. 2 LEtr, l'ODM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w:t>
      </w:r>
    </w:p>
    <w:p>
      <w:r>
        <w:rPr>
          <w:b/>
        </w:rPr>
        <w:t>E. 5.1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 cit. ; André Grisel, Traité de droit administratif, vol. II, Neuchâtel 1984, p. 947), mais a été déduite de l'art. 66 PA, qui prévoit le droit de demander la révision des décisions, et des art. 8 et 29 al. 2 de la Constitution fédérale de la Confédération suisse du 18 avril 1999 (Cst., RS 101; cf. ATF 127 I 133 consid. 6; arrêt du Tribunal de céans C-3061/2009 du 17 février 2010 consid. 2.1 et jurisprudence citée).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 cit. ; JAAC 67.106 consid. 1 et réf. cit.;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 cit.).</w:t>
      </w:r>
    </w:p>
    <w:p>
      <w:r>
        <w:rPr>
          <w:b/>
        </w:rPr>
        <w:t>E. 5.2</w:t>
      </w:r>
    </w:p>
    <w:p>
      <w:r>
        <w:t>La procédure extraordinaire (de révision ou de réexamen) ne saurait toutefois servir de prétexte pour remettre continuellement en question des décisions entrées en force (cf. ATF 127 I précité ; 120 Ib 42 consid. 2b), ni surtout à éluder les dispositions légales sur les délais de recours (cf. ATF 120 Ib et 109 Ib précités, ibidem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arrêt du Tribunal de céans C-5375/2008 du 10 mars 2009 consid. 3; Blaise Knapp, Précis de droit administratif, Bâle/Francfort-sur-le-Main 1991, p. 276).</w:t>
      </w:r>
    </w:p>
    <w:p>
      <w:r>
        <w:rPr>
          <w:b/>
        </w:rPr>
        <w:t>E. 5.3</w:t>
      </w:r>
    </w:p>
    <w:p>
      <w:r>
        <w:t>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136 II 177 consid. 2.2.1 et 131 II 329 consid. 3.2; Grisel, op. cit., vol. II, p. 944; Kölz/Häner, op. cit., p. 156ss; Knapp, op. cit., p. 276; Fritz Gygi, Bundesverwaltungsrechtspflege, Berne 1983, p.262s.; Jean-François Poudret, Commentaire de la loi fédérale d'organisation judiciaire, vol. V, Berne 1992, p. 18, 27ss et 32ss).</w:t>
      </w:r>
    </w:p>
    <w:p>
      <w:r>
        <w:rPr>
          <w:b/>
        </w:rPr>
        <w:t>E. 5.4</w:t>
      </w:r>
    </w:p>
    <w:p>
      <w:r>
        <w:t>Dans le cas particulier, A._______ a sollicité le 28 septembre 2011 le réexamen de la décision d'interdiction d'entrée en Suisse prononcée par l'ODM en date du 28 août 2006. Elle a fondé cette demande sur l'acquisition de la nationalité italienne le 16 décembre 2010, cet élément lui permettant de bénéficier, en tant que citoyenne européenne, de la libre circulation des personnes (cf. mémoire de recours, ch. 2.17). L'ODM a considéré que la nationalité italienne de la requérante constituait "un fait nouveau par rapport au prononcé de la décision du 28 août 2006", si bien qu'il est entré en matière sur la demande de réexamen du 28 septembre 2011. Partant, le Tribunal doit examiner si c'est à bon droit que l'autorité inférieure l'a rejetée, du moins partiellement dans la mesure où, le 10 novembre 2011, elle a limité les effets de l'interdiction d'entrée au 27 août 2016.</w:t>
      </w:r>
    </w:p>
    <w:p>
      <w:r>
        <w:rPr>
          <w:b/>
        </w:rPr>
        <w:t>E. 6.1</w:t>
      </w:r>
    </w:p>
    <w:p>
      <w:r>
        <w:t>Compte tenu du fait que A._______ a acquis la nationalité italienne et, partant, est désormais citoyenne de l'un des Etats membres de la Communauté européenne (CE), il importe de vérifier si la mesure d'éloignement prononcée contre elle le 28 août 2006, et reconsidérée par l'autorité inférieure le 10 novembre 2011, est conforme à l'ALCP. En vertu de l'art. 2 al. 2 LEtr, cette dernière loi et, donc, l'art. 67 LEtr sur lequel l'ODM a fondé la décision querellée, ne sont en effet applicables aux ressortissants des Etats membres de la CE que si l'ALCP n'en dispose pas autrement. Dans le cas d'espèce, en l'absence de toute demande formelle de A._______ visant à l'octroi d'une autorisation de séjour en sa faveur, le Tribunal observe que la question à trancher, en l'état et compte tenu du cadre du présent litige, est limitée à celle de l'interdiction d'entrée en Suisse et se pose uniquement dans l'optique de la possibilité de pénétrer librement sur le territoire suisse. 6.2 Selon l'art. 3 ALCP, le droit d'entrée sur le territoire suisse est garanti aux ressortissants européens conformément aux dispositions de l'annexe I qui est partie intégrante de l'Accord (art. 15 ALCP [cf. notamment arrêt du Tribunal fédéral 2C_664/2009 du 25 février 2010 consid. 4]). A l'instar des autres droits octroyés par l'Accord, ce droit ne peut être limité que par des mesures d'ordre ou de sécurité publics, aux termes de l'art. 5 par. 1 annexe I ALCP, dont le cadre et les modalités sont définis par la directive 64/221/CEE et la jurisprudence y relative de la Cour de justice des communautés européennes (CJCE [art. 5 par. 2 annexe I ALCP, combiné avec l'art. 16 al. 2 ALCP]; cf. ATF 136 II 5 consid. 4.1, 136 II 65consid. 3.1 et 131 II 352 consid. 3.1; au sujet de la prise en considération des arrêts de la CJCE postérieurs à la date de la signature de l'Accord [21.06.99], cf. ATF 136 II 5 consid. 3.4 et 136 II 65, ibidem). 6.3 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134 II 25 consid. 4.3.2 et 131 précité, consid. 3.2; voir également arrêts du Tribunal fédéral 2C_746/2011 du 25 janvier 2012 consid. 3.2 et 2C_486/2011 du 13 décembre 2011 consid. 2 et arrêts cités de la CJCE).</w:t>
      </w:r>
    </w:p>
    <w:p>
      <w:r>
        <w:rPr>
          <w:b/>
        </w:rPr>
        <w:t>E. 6.4</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136 II 5, ibidem, 134 II 10 consid. 4.3 et 131 précité, ibidem; voir également arrêts du Tribunal fédéral 2C_746/2011 précité, ibidem, et 2C_486/2011 précité, ibidem, ainsi que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(cf.ATF 136 II précité, ibidem, 131 II précité, consid. 3.3, et 130 II 493 consid. 3.2; cf. également arrêt du Tribunal fédéral 2C_486/2011 précité, ibidem, et arrêts mentionnés de la CJCE). L'évaluation du risque de récidive sera d'autant plus rigoureuse que le bien juridique menacé est important (cf. ATF 136 II précité, ibidem, 134 II 25 consid. 4.3.2 et 130 Il 493 consid. 3.3; voir aussi arrêts du Tribunal fédéral 2C_506/2011 du 13 décembre 2011 consid. 4.2.2 et 2C_636/2010 du 3 août 2011 consid. 3.2). 7.7.1 En l'espèce, il appert du dossier que A._______ a été condamnée, le 24 février 2005, à une peine de trente mois de réclusion pour délit manqué de meurtre sur la personne de son ex-époux. Le 28 septembre 2005, elle a été libérée conditionnellement. Depuis lors, hormis sa condamnation pénale de trente jours d'emprisonnement le 24 août 2006 pour des infractions à la LCR commises en mars et avril 2006 (cf. extrait du casier judiciaire suisse du 19 septembre 2012), les mesures d'instruction effectuées dans le cadre de la présente procédure ont abouti à la conclusion que A._______ n'avait pas commis d'autres infractions pénales en Suisse ou en Italie, pays où elle réside actuellement (cf. extraits du casier judiciaire italien du 24 octobre 2012 et du casier judiciaire suisse du 19 septembre 2012). Par ailleurs, plus de sept années se sont écoulées depuis la libération conditionnelle de l'intéressée en septembre 2005. Il sied de noter ici que l'acte délictueux dont A._______ a été reconnue coupable le 24 février 2005 présente un degré de gravité important, dans la mesure où il a porté lourdement atteinte à l'intégrité physique de son ex-mari (cf. en ce sens arrêts du Tribunal fédéral 2C_600/2011 du 12 janvier 2012 consid. 6, 2C_791/2009 du 10 juin 2010 consid. 3.1 et 2A.46/2006 du 11 avril 2006 consid. 3.2.1). La jurisprudence se montre en effet particulièrement rigoureuse - suivant en cela la pratique de la Cour européenne des droits de l'homme - en présence notamment d'actes de violence criminelle et d'infractions contre l'intégrité corporelle, physique ou sexuelle (cf. notamment arrêts du Tribunal fédéral 2C_600/2011 précité, ibidem, 2C_506/2011 précité, consid. 4.2.2, 2C_492/2011 du 6 décembre 2011 consid. 4.1 in fine, 2C_473/2011 du 17 octobre 2011 consid. 2.2 et 2C_152/2011 du 25 août 2011 consid. 3.1 in fine, ainsi que la jurisprudence citée). Il est constant ainsi que le délit manqué de meurtre présentait un caractère de gravité certaine et qu'à cet égard, le Tribunal pénal de Martigny et St-Maurice a relevé, dans son jugement du 24 février 2005 (cf. p. 17), que l'acte commis par l'accusée était "très grave". Or, selon la jurisprudence, il existe incontestablement un intérêt public prépondérant à l'éloignement d'un étranger ayant commis un tel acte, même lorsque cet étranger a vécu en Suisse depuis de longues années (cf. ATF 130 II 176 consid. 4.4.2 et arrêts cités; arrêt du Tribunal fédéral 2C_78/2008 du 17 juin 2008 consid. 2.1 in fine). A la décharge de l'intéressée, le Tribunal pénal cantonal a cependant retenu que les époux traversaient, au moment de l'événement litigieux, "une période de conflit très aiguë dans le couple, conflit dans lequel le conjoint supporte également une part de responsabilité". De plus, il a relevé, en se fondant sur une expertise médicale, que "l'accusée présentait au moment d'agir un trouble de personnalité assimilable à un développement mental incomplet couplé à un trouble dans sa conscience sous forme d'intoxication alcoolique", de sorte que sa faculté d'apprécier le caractère illicite de l'acte pouvait être considérée comme "légèrement diminuée" (cf. jugement pénal du 24 février 2005, p. 17). A ce stade, il y a donc lieu de retenir que la recourante a commis en Suisse, en janvier 2004, un délit qui présente objectivement un degré de gravité important - ce qui correspond du reste à la lourde peine qui a été prononcée à son encontre - et dont on ne saurait contester qu'il affecte un intérêt fondamental de la société au sens de la jurisprudence de la CJCE. 7.2 Il convient encore d'examiner si cette menace est toujours d'actualité.7.2.1 A l'appui de son pourvoi, A._______ fait principalement valoir que sa vie s'est considérablement modifiée à la suite de son expérience carcérale et qu'elle a depuis adopté "un comportement exempt de tout reproche", en soulignant qu'elle est parvenue "à résoudre ses problèmes d'alcool récurrents". En outre, elle assure avoir pris conscience de la gravité de l'acte perpétré en janvier 2004 et avoir prouvé, "par sa réelle envie de s'en sortir, que son geste, sous le feu de la colère, demeurait un acte isolé et qu'elle ne représentait aucunement une menace réelle et actuelle pour l'ordre public" (cf. mémoire de recours, ch. 4.6.4). Dans le cadre de la procédure de recours, elle a en outre précisé qu'elle dispose d'une partie de sa famille en Suisse, notamment sa soeur et ses neveux, qui sont domiciliés à Martigny (cf. renseignements communiqués le 16 octobre 2012). De plus, elle a produit une copie d'un contrat de travail, d'une fiche de salaire ainsi que d'un certificat médical. Par cette dernière pièce, datée du 21 septembre 2012, elle entend démontrer qu'elle est parvenue à résoudre ses problèmes d'alcool (cf. pli du 18 octobre 2012). 7.2.2 Au vu notamment des considérants émis par les juges pénaux, le Tribunal de céans considère que le risque de récidive peut être qualifié de faible en l'espèce. Dès lors qu'il s'agissait d'un acte isolé survenu à la suite d'une dispute conjugale avec son ex-mari et commis sous l'emprise de l'alcool (cf. jugement pénal précité, pp. 16 et 17), il convient de tenir compte du fait que la prénommée semble être parvenue à résoudre "ses problèmes d'alcool récurrents", du moins si l'on s'en réfère aux pièces versées au dossier et aux déclarations faites à ce sujet (cf. mémoire de recours, ch. 4.6.4, et certificat médical du 21 septembre 2012 produit le 18 octobre 2012). Enfin, il est important de souligner ici que le délit commis en janvier 2004 remonte désormais à plus de huit ans et demi, que l'intéressée a acquis depuis la nationalité italienne (cf. mémoire de recours, ch. 2.17) à la suite de son mariage avec un citoyen de ce pays et qu'elle occupe un emploi temporaire en Italie (cf. documents produits le 18 octobre 2012). Sa situation personnelle et professionnelle paraît dans ces circonstances s'être stabilisée, preuve en étant le fait qu'elle n'a plus donné lieu des poursuites pénales, au vu des extraits de casier judiciaire versés au dossier. Ainsi, malgré les deux infractions à la LCR relativement mineures commises en 2006, dont l'une (conduite en état d'ébriété) était à mettre en relation avec les problèmes d'alcool récurrents dont souffrait alors A._______, il s'impose de constater que celle-ci s'est amendée et qu'elle ne représente donc plus actuellement une menace grave pour la sécurité et l'ordre publics en Suisse. Aussi ne se justifie-t-il plus de tenir la recourante éloignée de ce pays. 8.En conclusion, au vu de ce qui précède, le Tribunal est d'avis que le maintien de l'interdiction d'entrée en Suisse jusqu'au 27 août 2016 n'apparaît plus nécessaire à la préservation de l'ordre et la sécurité publics sous l'angle de l'ALCP. Par voie de conséquence, la mesure d'interdiction d'entrée, prononcée le 28 août 2006 et reconsidérée le 10 novembre 2011, doit être levée avec effet immédiat. Compte tenu de l'issue de la présente procédure, il n'est point nécessaire de statuer sur la demande visant à ordonner une expertise médicale destinée à prouver que la recourante a réussi à résoudre ses problèmes d'alcool (cf. réquisition formulée le 3 octobre 2012). 9.Au vu de ce qui précède, le recours doit être admis. Compte tenu de l'issue de la présente procédure, il n'y a pas lieu de mettre les frais de procédure à la charge de la recourante (art. 63 al. 1 [a contrario] à 3 PA). Par ailleurs, il convient d'allouer à la recourante des dépens pour les frais indispensables et relativement élevés occasionnés par la présente procédure de recours (cf. art. 64 al. 1 PA, en relation avec l'art. 7 al. 1 et 2 et l'art. 10 du règlement du 21 février 2008 concernant les frais dépens et indemnités fixés par le Tribunal administratif fédéral [FITAF, RS 173.320.2]). Compte tenu du travail accompli par le mandataire de A._______, du tarif applicable en l'espèce et du degré de difficulté de la présente cause au plan juridique, cette indemnité, à titre de dépens, sera fixée à 1'400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