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C-6726/2010 vom 18. Januar 2011</w:t>
      </w:r>
    </w:p>
    <w:p>
      <w:r>
        <w:t>Bundesverwaltungsgericht, 2011-01-18, DE</w:t>
      </w:r>
    </w:p>
    <w:p>
      <w:r>
        <w:rPr>
          <w:b/>
        </w:rPr>
        <w:t xml:space="preserve">Quelle: </w:t>
      </w:r>
      <w:r>
        <w:t>https://mcp.opencaselaw.ch/entscheid/bvger_C-6726_2010</w:t>
      </w:r>
    </w:p>
    <w:p>
      <w:r>
        <w:t>FR: TAF C-6726/2010 du 18 janvier 2011</w:t>
      </w:r>
    </w:p>
    <w:p>
      <w:r>
        <w:t>IT: TAF C-6726/2010 del 18 gennaio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BFM hat trotz nicht ganz korrekter Abwicklung der Angelegenheit durch die Schweizerische Botschaft in Bangkok (formlose Ablehnung des Einreisegesuches am 27. Mai 2010, obwohl dies seit dem 15. Mai 2010 förmlich auf einem eigens hierfür vorgesehenen Formular ge­schehen müsste) einen Einspracheentscheid gefällt (vgl. hierzu Art. 6 Abs. 2 bzw. Art. 6 Abs. 2Bis AuG). Aufgrund der gesamten Umstände (Leisten eines Kos­tenvorschusses, Entgegennahme von Eingaben als sinngemässe Ein­sprache) erscheint ein solches Vorgehen nicht zuletzt aus verfahrensöko­nomischen Überlegungen vertretbar, zumal dem Beschwer­deführer daraus kein Nachteil erwachsen ist und er dagegen keine Einwände erhebt.</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5</w:t>
      </w:r>
    </w:p>
    <w:p>
      <w:r>
        <w:t>Die inlän­dischen Bestim­mun­gen über das Visumverfahren und über die Ein- und Ausreise finden Anwendung, sofern die Schengen-Assozi­ierungs­abkommen keine abwei­chenden Bestimmungen enthalten (vgl. Art. 2 Abs. 4 und 5 AuG).</w:t>
      </w:r>
    </w:p>
    <w:p>
      <w:r>
        <w:rPr>
          <w:b/>
        </w:rPr>
        <w:t>E. 6.1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6.2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Gemäss Anhang I zur Verordnung (EG) Nr. 539/2001 des Rates vom 15. März 2001 (ABl. L 81 vom 21.03.2001, S. 1 - 7) unterliegt die Gesuch­stellerin als thailändische Staatsangehörige der Visumspflicht.</w:t>
      </w:r>
    </w:p>
    <w:p>
      <w:r>
        <w:rPr>
          <w:b/>
        </w:rPr>
        <w:t>E. 8.1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8.2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8.3</w:t>
      </w:r>
    </w:p>
    <w:p>
      <w:r>
        <w:t>In Thailand sind - vorab in den ländlichen Gebieten des Nord­ostens, aus denen die Gesuchstellerin stammt - breite Bevölkerungs­schichten von kargen ökonomischen und sozialen Lebens­bedingungen betroffen. Die Region der Nordostprovinzen gilt im landes­weiten Ver­gleich als ärmste der insgesamt sechs Regionen (vgl. www.thaiweb-sites.com &gt; Economy and Politics in Thailand &gt; GDP of Thai Regions and Provinces).</w:t>
      </w:r>
    </w:p>
    <w:p>
      <w:r>
        <w:rPr>
          <w:b/>
        </w:rPr>
        <w:t>E. 8.4</w:t>
      </w:r>
    </w:p>
    <w:p>
      <w:r>
        <w:t>Vom Druck zur wirtschaftlichen Existenzsicherung sind häufig Frauen besonders betroffen, die mit ihrem Einkommen oft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 zu den wirtschaftlichen Eckdaten allgemein vgl. Staats­sekretariat für Wirtschaft &gt; Themen &gt; Aussenwirt­schaft &gt; Länder­informationen &gt; Asien/Ozeanien &gt; Thai­land, &lt;http://www.seco.admin.ch&gt;, Stand: März 2009, be­sucht im Dezember 2010).</w:t>
      </w:r>
    </w:p>
    <w:p>
      <w:r>
        <w:rPr>
          <w:b/>
        </w:rPr>
        <w:t>E. 8.5</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8.6</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9.1</w:t>
      </w:r>
    </w:p>
    <w:p>
      <w:r>
        <w:t>Bei der Gesuchstellerin handelt es sich um eine 27-jährige, un­verhei­ratete Frau und Mutter einer bald 6-jährigen Tochter. Der leib­li­che Vater nimmt seine diesbezügliche Verantwortung laut Darstellung in der Replik nicht wahr. Eltern und Geschwister wohnen am selben Ort. Ansonsten ist über die persönlichen und familiären Verhältnisse wenig bekannt. Aus dem Kindesverhältnis könnte zwar auf gewisse Ver­pflichtungen geschlossen werden, welche angesichts der ge­planten langen Auslandabwesenheit allerdings wieder zu relativieren sind. Der Beschwerdeführer äusserte sich zu besagtem Aspekt nur beiläufig. Ganz allge­mein gilt es zu bedenken, dass die Existenz eigener Kinder häufig nicht daran hindert, den Entschluss zur Emigration zu fassen, denn ein solcher Entschluss ist oft mit der Hoffnung verbunden, nahe Angehö­rige aus dem Ausland besser unterstützen und später allenfalls nachzie­hen zu können. Sonstige besondere Verpflichtungen familiärer oder beruflicher Natur (siehe formlose Verweigerung des Visums durch die Schweizervertretung vom 27. Mai 2010), welche die Gesuch­stelle­rin nachhaltig von einer möglichen Emigration abzuhalten ver­möchten, sind nicht ersichtlich.</w:t>
      </w:r>
    </w:p>
    <w:p>
      <w:r>
        <w:rPr>
          <w:b/>
        </w:rPr>
        <w:t>E. 9.2</w:t>
      </w:r>
    </w:p>
    <w:p>
      <w:r>
        <w:t>Hinzu kommt, dass der Beschwerdeführer wiederholt erklärte, die ein­geladene Person (seine Freundin) nach näherem Kennenlernen eventuell heiraten zu wollen. Ob dies noch während des Besuchsaufenthalts oder danach der Fall wäre, lässt der Gastgeber offen. Von daher bestehen hinsichtlich des Aufenthaltszwecks un­bestrittenermassen gewisse Bedenken und Unsicherheiten. Hierbei geht es keineswegs darum, eine mögliche Heirat durch Einreisebestim­mungen zu erschweren oder verhindern. Wenn aber ein Visum für einen be­fristeten Besuchsaufenthalt beantragt wird, dessen Erteilung an eine fristgerechte Wiederausreise geknüpft ist, und der Besuch dann je nach Entwicklung der Umstände für Hei­ratsvorbereitungen benutzt wird (vgl. etwa das Einladungsschrei­ben vom 24. März 2010), dann liegt es auf der Hand, dass zumindest op­tionsweise eine dauerhaftere Anwesenheit hierzulande angestrebt wird, was eben nicht dem Zweck eines befristeten Besuchsaufenthalts entspricht. Einreisegesuche zwecks Eheabschluss richten sich derweil nach eigenen Verfahren mit besonderen Zuständigkeiten (vgl. Art. 10 und 17 AuG bzw. Art. 42 AuG).</w:t>
      </w:r>
    </w:p>
    <w:p>
      <w:r>
        <w:rPr>
          <w:b/>
        </w:rPr>
        <w:t>E. 9.3</w:t>
      </w:r>
    </w:p>
    <w:p>
      <w:r>
        <w:t>Vor dem allgemeinen und persönlichen Hintergrund durfte die Vorinstanz demnach davon ausgehen, dass keine hinreichende Gewähr für eine fristgerechte und anstandslose Wiederausreise der Gesuchstellerin nach einem Besuchsaufenthalt besteht. An dieser Beurteilung vermag die Bürgschaftsverpflichtung der Schwyzer Kantonalbank über Fr. 50'000.- nichts zu ändern. Die Integrität des Beschwerdeführers wird, wie schon von der Vorinstanz hervorgehoben, in keiner Weise in Zweifel gezogen. Die von ihm eingegangenen Verpflichtungen umfassen jedoch ausschliesslich das Risiko ungedeckter Kosten im Zusammenhang mit dem beabsichtigten Besuchsaufenthalt und sind betragsmässig nach oben beschränkt (Art. 8 Abs. 5 VEV). Demgegenüber kann der Beschwerdeführer in seiner Rolle als Gastgeber für ein bestimmtes Tun oder Unterlassen des Gastes nicht rechtswirksam einstehen (vgl. zum Ganzen BVGE 2009/27 E. 9). In diesem Zusammenhang bleibt festzuhalten, dass er die Gesuchstellerin erst seit dem Frühjahr 2009 und von Ferienaufenthalten in Thailand her kennt. Bei dieser Sachlage wird selbst der Beschwerdeführer gewisse Vorbehalte anbringen müssen, wenn es darum geht, mögliche Entwicklungen in den Wünschen und Vorstellungen der (deutlich jüngeren) Gesuchstellerin betreffend ihre kurz- und mittelfristige Lebensgestaltung einschätzen zu können. Der (durchaus verständliche) Wunsch des Beschwerdeführers, seine Freundin mittels des vorgesehenen Aufenthalts hierzulande besser kennen zu lernen und ihr das Lebensumfeld in der Schweiz zu zeigen, hat demnach in den Hintergrund zu treten. Den Beteiligten ist zuzumuten, ihre freundschaftliche Beziehung vorderhand anderweitig zu pflegen; dies umso mehr, als sich der Beschwerdeführer schon mehrmals nach Thailand begeben hat und eine Wohnsitzverlegung dorthin für ihn laut Stellungnahme vom 3. September 2010 ein Thema ist. Die Visumsverweigerung erscheint unter besagtem Gesichtspunkt daher auch nicht als unverhältnismässig.</w:t>
      </w:r>
    </w:p>
    <w:p>
      <w:r>
        <w:rPr>
          <w:b/>
        </w:rPr>
        <w:t>E. 10</w:t>
      </w:r>
    </w:p>
    <w:p>
      <w:r>
        <w:t>Aus den dargelegten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11</w:t>
      </w:r>
    </w:p>
    <w:p>
      <w:r>
        <w:t>Entsprechend dem Ausgang des Verfahrens wird der unterliegende Beschwerdeführer kostenpflichtig (Art. 63 Abs. 1 VwVG i.V.m.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