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C-6721/2014 vom 19. Februar 2016</w:t>
      </w:r>
    </w:p>
    <w:p>
      <w:r>
        <w:t>Bundesverwaltungsgericht, 2016-02-19, DE</w:t>
      </w:r>
    </w:p>
    <w:p>
      <w:r>
        <w:rPr>
          <w:b/>
        </w:rPr>
        <w:t xml:space="preserve">Quelle: </w:t>
      </w:r>
      <w:r>
        <w:t>https://mcp.opencaselaw.ch/entscheid/bvger_C-6721_2014</w:t>
      </w:r>
    </w:p>
    <w:p>
      <w:r>
        <w:t>FR: TAF C-6721/2014 du 19 février 2016</w:t>
      </w:r>
    </w:p>
    <w:p>
      <w:r>
        <w:t>IT: TAF C-6721/2014 del 19 febbraio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Adressat der angefochtenen Verfügung ist der Beschwer­de­führer davon berührt und er kann sich auf ein schutzwürdiges Interesse an deren Auf­hebung oder Änderung berufen (vgl. Art. 59 ATSG, Art. 48 Abs. 1 VwVG). Auf die frist- und formgerecht eingereichte Beschwerde (vgl. Art. 38 ff. und Art. 60 ATSG, Art. 52 Abs. 1 VwVG) ist daher grundsätzlich einzutreten.</w:t>
      </w:r>
    </w:p>
    <w:p>
      <w:r>
        <w:rPr>
          <w:b/>
        </w:rPr>
        <w:t>E. 1.3</w:t>
      </w:r>
    </w:p>
    <w:p>
      <w:r>
        <w:t>Anfechtungsgegenstand - welcher die Grenze des möglichen Streitgegenstandes bildet - ist eine Verfügung, mit welcher die Vorinstanz nicht auf die Neuanmeldung des Beschwerdeführers eingetreten ist. Streitgegenstand bildet daher lediglich die Frage, ob die Vorinstanz zu Recht nicht auf die Neuanmeldung eingetreten ist. Soweit der Beschwerdeführer beantragt, es sei ihm eine IV-Rente zuzusprechen, ist auf die Beschwerde nicht einzutreten (vgl. BGE 132 V 74 E. 1.1, Urteil BGer 9C_116/2010 vom 20. April 2010 E. 1).</w:t>
      </w:r>
    </w:p>
    <w:p>
      <w:r>
        <w:rPr>
          <w:b/>
        </w:rPr>
        <w:t>E. 2.1</w:t>
      </w:r>
    </w:p>
    <w:p>
      <w:r>
        <w:t>Der Beschwerdeführer ist kroatischer Staatsangehöriger mit Wohnsitz in Kroatien, das seit dem 1. Juli 2013 Mitglied der EU ist. Mangels Unterzeichnung bzw. Ratifizierung des Zusatzprotokolls (Protokoll III) ist das Freizügigkeitsabkommen vom 21. Juni 1999 (FZA, SR 0.142.112.681) im Verhältnis zu Kroatien aber nicht verbindlich. Es ist weiterhin das Abkommen zwischen der Schweizerischen Eidgenossenschaft und der Republik Kroatien über Soziale Sicherheit vom 9. April 1996 (SR 0.831.109.291.1) anwendbar. Nach Art. 4 Abs. 1 dieses Abkommens sind die Staatsangehörigen des einen Vertragsstaates in ihren Rechten und Pflichten aus den Rechtsvorschriften des anderen Vertragsstaates, zu denen gemäss Art. 1 Abs. 1 Bst. a i.V.m. Art. 2 Abs. 1 A Bst. ii die Bundesgesetzgebung über die Invalidenversicherung gehört, den Staatsangehörigen dieses Vertragsstaates gleichgestellt; abweichende Bestimmungen in diesem Abkommen bleiben vorbehalten. Die vorliegend streitige Frage, ob die Vorinstanz zu Recht nicht auf die Neuanmeldung eingetreten ist, beurteilt sich ausschliesslich nach innerstaatlichem Recht.</w:t>
      </w:r>
    </w:p>
    <w:p>
      <w:r>
        <w:rPr>
          <w:b/>
        </w:rPr>
        <w:t>E. 2.2</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in Verbindung mit Abs. 3 IVV [SR 831.201]).</w:t>
      </w:r>
    </w:p>
    <w:p>
      <w:r>
        <w:rPr>
          <w:b/>
        </w:rPr>
        <w:t>E. 2.3</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Urteil BGer 9C_635/2015 vom 16. Oktober 2015 E. 2.1). Die vom Beschwerdeführer erst im Beschwerdeverfahren aufgelegten Arztberichte sind daher grundsätzlich nicht zu berücksichtigen (vgl. auch Urteil BVGer C-7034/2013 vom 30. September 2014 E. 4.2 m.w.H.).</w:t>
      </w:r>
    </w:p>
    <w:p>
      <w:r>
        <w:rPr>
          <w:b/>
        </w:rPr>
        <w:t>E. 2.4</w:t>
      </w:r>
    </w:p>
    <w:p>
      <w:r>
        <w:t>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(9C_635/2015 E. 2.2).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BGer 9C_688/2007 vom 22. Januar 2008 E. 2.2 und 9C_286/2009 vom 28. Mai 2009 mit Hinweis auf BGE 109 V 262 E. 3).</w:t>
      </w:r>
    </w:p>
    <w:p>
      <w:r>
        <w:rPr>
          <w:b/>
        </w:rPr>
        <w:t>E. 2.5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2.6</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w:t>
      </w:r>
    </w:p>
    <w:p>
      <w:r>
        <w:t>Streitig und zu prüfen ist, ob eine erhebliche Verschlechterung des Gesundheitszustandes zwischen Mai 2012 (erste [abweisende] Verfügung) und Oktober 2014 (Nichteintretensverfügung) glaubhaft gemacht worden ist.</w:t>
      </w:r>
    </w:p>
    <w:p>
      <w:r>
        <w:rPr>
          <w:b/>
        </w:rPr>
        <w:t>E. 3.1</w:t>
      </w:r>
    </w:p>
    <w:p>
      <w:r>
        <w:t>Die erste, das Leistungsbegehren abweisende Verfügung stützte sich insbesondere auf das psychiatrische Gutachten von Dr. B._______ vom 21. Oktober 2011 sowie die Berichte von Dr. C._______ (RAD) vom 16. Dezember 2011 (IV-act. 92) und Dr. G._______ (Medizinischer Dienst der IVSTA) vom 31. Dezember 2011 (IV-act. 94) und 29. Januar 2012 (IV-act. 96). Aus psychiatrischer Sicht wurde keine Beeinträchtigung der Arbeitsfähigkeit attestiert (vgl. IV-act. 92; IV-act. 83 S. 19). Laut der abschliessenden Stellungnahme von Dr. G._______ war der Versicherte unter Berücksichtigung der zervikalen Beschwerden, der Dysthymie sowie dem Status nach Pankreatitis seit Mai 2006 als Bauhilfsarbeiter zu 50% arbeitsunfähig. In einer leidensangepassten Tätigkeit sei er jedoch uneingeschränkt arbeitsfähig (IV-act. 96).</w:t>
      </w:r>
    </w:p>
    <w:p>
      <w:r>
        <w:rPr>
          <w:b/>
        </w:rPr>
        <w:t>E. 3.2</w:t>
      </w:r>
    </w:p>
    <w:p>
      <w:r>
        <w:t>Der RAD-Arzt Dr. C._______ kam in seiner Stellungnahme vom 3. Juli 2014 zum Schluss, im Austrittsbericht der psychiatrischen Klinik F._______ vom 22. August 2012 würden dieselben Diagnosen und Befunde wie im Austrittsbericht vom 13. Juli 2010 derselben Klinik aufgeführt. Das Rentengutachten von Frau Dr. H._______ vom 14. Februar 2014 sei - in psychiatrischer Hinsicht - deckungsgleich mit demjenigen vom 13. April 2010. Die gestellten Diagnosen (rezidivierende majore depressive Störung, organische Persönlichkeitsstörung) seien bereits damals nicht nachvollziehbar gewesen und hätten durch das psychiatrische Gutachten von Dr. B._______ nicht bestätigt werden können. Mit den neuen psychiatrischen Berichten sei eine wesentliche Veränderung nicht glaubhaft gemacht worden (IV-act. 123). Die Ausführungen von Dr. C._______ sind nachvollziehbar und es ist nicht zu beanstanden, dass die Vorinstanz auf dessen Beurteilung abgestellt hat.</w:t>
      </w:r>
    </w:p>
    <w:p>
      <w:r>
        <w:rPr>
          <w:b/>
        </w:rPr>
        <w:t>E. 3.3</w:t>
      </w:r>
    </w:p>
    <w:p>
      <w:r>
        <w:t>Nicht nachvollziehbar ist hingegen die Stellungnahme von Dr. D._______ vom 19. Juli 2014 (IV-act. 125) betreffend den somatischen Bereich, wonach der Zustand im Vergleich zur Beurteilung von Dr. G._______ am 31. Dezember 2011 unverändert sei. Zwar ist dem IV-Stellenarzt darin zuzustimmen, dass aufgrund der vorgelegten Berichte keine wesentliche Einschränkung der Arbeitsfähigkeit ausgewiesen ist. Dies ist für das Glaubhaftmachen indessen auch nicht erforderlich (vgl. oben E. 2.4). Massgebend ist vielmehr, ob aufgrund eines Vergleichs der damaligen Befunde, welche der Beurteilung von Dr. G._______ zugrunde lagen, und der aktuell erhobenen Befunde eine revisionsrechtlich erhebliche Verschlechterung des Gesundheitszustandes glaubhaft erscheint. Einen solchen Vergleich der medizinischen Befunde hat Dr. D._______ in seiner Stellungnahme jedoch nicht vorgenommen. Zudem steht seine nicht weiter begründete Behauptung, das zervikale und lumbale Syndrom sei behandelbar und nicht limitierend, auch im Widerspruch zur damaligen Beurteilung von Dr. G._______. Die örtlichen Ärztinnen und Ärzten berichten von verschiedenen schmerzhaften Bewegungseinschränkungen, die der Einschätzung von Dr. G._______ noch nicht zugrunde lagen, namentlich der Schultern, Hüfte, rechtes Handgelenk (vgl. IV-act. 109). Weiter ging Dr. G._______ damals davon aus, dass die (akute) Pankreatitis abgeheilt sei, laut den neueren Berichten leidet der Beschwerdeführer nun an einer chronischen Pankreatitis. Nicht ausgeschlossen werden kann sodann, dass sich die zervikale Problematik (Diskushernien C5-C7, radikuläre Läsionen [vgl. IV-act. 117 ff.]) verschlimmert hat.</w:t>
      </w:r>
    </w:p>
    <w:p>
      <w:r>
        <w:rPr>
          <w:b/>
        </w:rPr>
        <w:t>E. 3.4</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133 V 108 E. 5.3.1 m.w.H.). Bereits ab einer Zeitspanne von 15 Monaten zwischen der rentenabweisenden Verfügung und der Neuanmeldung dürfen nach der Praxis jedoch keine allzu hohen Anforderungen an die Glaubhaftmachung gestellt werden (vgl. BGE 130 V 64 E. 6.2; C-7034/2013 E. 4.3). Entgegen der Annahme der Vorinstanz ist vorliegend eine (rentenrelevante) Verschlechterung des Gesundheitszustandes glaubhaft gemacht worden, weshalb auf die Neuanmeldung einzutreten gewesen wäre.</w:t>
      </w:r>
    </w:p>
    <w:p>
      <w:r>
        <w:rPr>
          <w:b/>
        </w:rPr>
        <w:t>E. 3.5</w:t>
      </w:r>
    </w:p>
    <w:p>
      <w:r>
        <w:t>Die Beschwerde ist - soweit darauf einzutreten ist - in dem Sinne gutzuheissen, als dass die angefochtene Verfügung aufzuheben und die Sache zur materiellen Prüfung des Leistungsanspruchs an die Vorinstanz zurückzuweisen ist.</w:t>
      </w:r>
    </w:p>
    <w:p>
      <w:r>
        <w:rPr>
          <w:b/>
        </w:rPr>
        <w:t>E. 4.1</w:t>
      </w:r>
    </w:p>
    <w:p>
      <w:r>
        <w:t>Gemäss Art. 63 Abs. 1 VwVG sind die Verfahrenskosten in der Regel der unterliegenden Partei aufzuerlegen. Der unterliegenden Vorinstanz werden jedoch keine Verfahrenskosten auferlegt (Art. 63 Abs. 2 VwVG).</w:t>
      </w:r>
    </w:p>
    <w:p>
      <w:r>
        <w:rPr>
          <w:b/>
        </w:rPr>
        <w:t>E. 4.2</w:t>
      </w:r>
    </w:p>
    <w:p>
      <w:r>
        <w:t>Dem obsiegenden, nicht anwaltlich vertretenen Beschwerdeführer sind keine verhältnismässig hohen Kosten entstanden, weshalb ihm keine Parteientschädigung zuzusprechen ist (vgl. Art. 64 Abs. 1 VwVG).</w:t>
      </w:r>
    </w:p>
    <w:p>
      <w:r>
        <w:rPr>
          <w:b/>
        </w:rPr>
        <w:t>E. 4.3</w:t>
      </w:r>
    </w:p>
    <w:p>
      <w:r>
        <w:t>Das Gesuch um unentgeltliche Rechtspflege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