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C-6719/2025 vom 28. Mai 2026</w:t>
      </w:r>
    </w:p>
    <w:p>
      <w:r>
        <w:t>Bundesverwaltungsgericht, 2026-05-28, FR</w:t>
      </w:r>
    </w:p>
    <w:p>
      <w:r>
        <w:rPr>
          <w:b/>
        </w:rPr>
        <w:t xml:space="preserve">Quelle: </w:t>
      </w:r>
      <w:r>
        <w:t>https://mcp.opencaselaw.ch/entscheid/bvger_C-6719_2025</w:t>
      </w:r>
    </w:p>
    <w:p>
      <w:r>
        <w:t>FR: TAF C-6719/2025 du 28 mai 2026</w:t>
      </w:r>
    </w:p>
    <w:p>
      <w:r>
        <w:t>IT: TAF C-6719/2025 del 28 maggio 2026</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domiciliée en France voisine et ayant travaillé en Suisse avant son incapacité de travail (cf. ci-dessus, let. A), la recourante doit être qualifiée de frontalière, si bien que c'est à bon droit que la procédure d'instruction de la demande de prestations AI a été menée par l'OAI-E._______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et 2 cum art. 38 al. 4 let. b LPGA et 52 al. 1 PA), et l'avance sur les frais de procédure ayant été dûment acquittée (art. 63 al. 4 PA ; TAF pce 4), le recours est recevable.</w:t>
      </w:r>
    </w:p>
    <w:p>
      <w:r>
        <w:rPr>
          <w:b/>
        </w:rPr>
        <w:t>E. 2</w:t>
      </w:r>
    </w:p>
    <w:p>
      <w:r>
        <w:t>Le présent litige porte sur le bien-fondé de la décision du 3 juillet 2025, par laquelle l'OAIE a refusé le droit à une rente d'invalidité, dès lors que la recourante peut exercer à 100 %, dès le 29 décembre 2023, son activité de contrôleuse de qualité, auprès d'un nouvel employeur, ce que l'intéressée conteste.</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L'affaire présente un aspect transfrontalier, dans la mesure où la recourante est une ressortissante française, domiciliée en France et demande l'octroi de prestations AI suisses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Dès lors, la présente cause doit être examinée à l'aune des dispositions en vigueur dans leur teneur jusqu'au 3 juillet 2025, date de la décision litigieuse, qui marque la limite dans le temps du pouvoir d'examen de l'autorité de recours.</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au sens de l'art. 29 LAI (cf. ci-dessous, consid. 6.4), à partir du 1er janvier 2022, même si la survenance de l'invalidité a été fixée à une date antérieure au 31 décembre 2021 (Circulaire de l'Office fédéral des assurances sociales [OFAS] sur l'invalidité et les rentes dans l'assurance-invalidité [CIRAI], valable dès le 1er janvier 2022, état au 1er janvier 2026, ch. 9100 ; Circulaire de l'OFAS relative aux dispositions transitoires concernant le système de rentes linéaire [Circ. DT DC AI], valable dès le 1er janvier 2022, état au 1er janvier 2025, ch. 1007 à 1010). En l'espèce, dès lors que s'il était accordé, le droit à la rente prendrait naissance au plus tôt le 1er avril 2024 (art. 29 LAI), il convient d'appliquer le nouveau droit à la présente cause.</w:t>
      </w:r>
    </w:p>
    <w:p>
      <w:r>
        <w:rPr>
          <w:b/>
        </w:rPr>
        <w:t>E. 5</w:t>
      </w:r>
    </w:p>
    <w:p>
      <w:r>
        <w:t>Tout requérant, pour avoir droit à une rente de l'AI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la recourante a versé des cotisations à l'assurance-vieillesse, survivants et invalidité suisse pendant plus de trois ans jusqu'en 2022 au moins (cf. ci-dessus, let. A). Elle remplit donc la condition de l'art. 36 al. 1 LAI.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1re phr.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Aux termes de l'art. 28 al. 1bis LAI, une rente au sens de l'art. 28 al. 1 LAI n'est pas octroyée tant que toutes les possibilités de réadaptation au sens de l'art. 8 al. 1bis et 1ter LAI n'ont pas été épuisées.</w:t>
      </w:r>
    </w:p>
    <w:p>
      <w:r>
        <w:rPr>
          <w:b/>
        </w:rPr>
        <w:t>E. 6.3</w:t>
      </w:r>
    </w:p>
    <w:p>
      <w:r>
        <w:t>Aux termes de l'art. 28b LAI, la quotité de la rente est fixée en pourcentage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les rentes s'échelonnent de façon linéaire de 25 % à 47.5 % d'une rente entière (al. 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 (arrêt du TAF C-997/2020 du 17 juin 2024 consid. 10.2 et 10.3).</w:t>
      </w:r>
    </w:p>
    <w:p>
      <w:r>
        <w:rPr>
          <w:b/>
        </w:rPr>
        <w:t>E. 6.5.1</w:t>
      </w:r>
    </w:p>
    <w:p>
      <w:r>
        <w:t>L'évaluation du taux d'invalidité est réglée à l'art. 28a LAI. La méthode utilisée pour évaluer le taux d'invalidité (comparaison des revenus, comparaison des activités ou méthode mixte) dépend du statut du bénéficiaire potentiel de la rente. Aux termes de l'art. 24septies RAI, ce statut est déterminé en fonction de la situation professionnelle dans laquelle se trouverait l'assuré s'il n'était pas atteint dans sa santé (al. 1). L'assuré est réputé : exercer une activité lucrative au sens de l'art. 28a al. 1 LAI dès lors qu'en bonne santé, il exercerait une activité lucrative à un taux d'occupation de 100 % ou plus (al. 2 let. a) ; ne pas exercer d'activité lucrative au sens de l'art. 28a al. 2 LAI dès lors qu'en bonne santé, il n'exercerait pas d'activité lucrative (al. 2 let. b) ; exercer une activité lucrative à temps partiel au sens de l'art. 28a al. 3 LAI dès lors qu'en bonne santé, il exercerait une activité lucrative à un taux d'occupation de moins de 100 % (al. 2 let. c).</w:t>
      </w:r>
    </w:p>
    <w:p>
      <w:r>
        <w:rPr>
          <w:b/>
        </w:rPr>
        <w:t>E. 6.5.2</w:t>
      </w:r>
    </w:p>
    <w:p>
      <w:r>
        <w:t>Selon la jurisprudence, pour déterminer la méthode d'évaluation du taux d'invalidité applicable au cas particulier, il faut se demander ce que la personne concernée aurait fait si l'atteinte à la santé n'était pas survenue. Cette question doit être tranchée sur la base de l'évolution de la situation jusqu'au prononcé de la décision litigieuse, et la force probatoire reconnue habituellement en droit des assurances sociales doit atteindre le degré de la vraisemblance prépondérante (cf. ci-dessous, consid. 7.1) pour que l'éventualité de l'exercice d'une activité lucrative partielle ou complète soit admise. Par ailleurs, pour résoudre cette question du statut, et déterminer le champ d'activité probable de la personne concernée, en particulier lorsqu'elle accomplit ses travaux habituels, il convient de se référer à l'ensemble des circonstances personnelles, familiales, sociales, financières et professionnelles du cas d'espèce (situation financière du ménage, éducation des enfants, âge, qualifications professionnelles, formation, affinités et talents personnels de la personne concernée). Cet examen tiendra également compte de la volonté hypothétique de la personne concernée, volonté qui, comme fait interne, ne peut être l'objet d'une administration directe de la preuve et doit être déduite d'indices extérieurs, établis au degré de la vraisemblance prépondérante tel que requis en droit des assurances sociales (ATF 144 I 28 consid. 2.3 et les réf. cit. ; 141 V 15 consid. 3.1 et les réf. cit. ; 137 V 334 consid. 3.2 et les réf. cit. ; 125 V 146 consid. 2c ; arrêts du TF 9C_269/2018 du 25 juillet 2018 consid. 5.2 et les réf. cit. ; 9C_279/2018 du 28 juin 2018 consid. 2.2).</w:t>
      </w:r>
    </w:p>
    <w:p>
      <w:r>
        <w:rPr>
          <w:b/>
        </w:rPr>
        <w:t>E. 6.5.3</w:t>
      </w:r>
    </w:p>
    <w:p>
      <w:r>
        <w:t>L'évaluation du taux d'invalidité des assurés exerçant une activité lucrative est régie par l'art. 16 LPGA (art. 28a al. 1 1re phr. LAI). Selon cette disposition,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de comparaison des revenus ; ATF 130 V 343 consid. 3.4.2 ; arrêt du TF 8C_536/2017 du 5 mars 2018 consid. 5.1).</w:t>
      </w:r>
    </w:p>
    <w:p>
      <w:r>
        <w:rPr>
          <w:b/>
        </w:rPr>
        <w:t>E. 6.5.4</w:t>
      </w:r>
    </w:p>
    <w:p>
      <w:r>
        <w:t>En l'espèce, l'autorité inférieure ne se prononce que sur la capacité de travail de l'intéressée dans l'accomplissement d'une activité lucrative. En particulier, la recourante travaillait à 100 % avant le début de son incapacité de travail (cf. ci-dessus, let. A), si bien qu'il peut être retenu, au degré de la vraisemblance prépondérante, qu'elle aurait continué à travailler à plein temps sans atteinte à la santé.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et d'expertises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n° 33 ad art. 57).</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Selon la jurisprudence (cf. en particulier arrêt du TF 9C_89/2020 du 18 juin 2020 consid. 4.2), le fait qu'une expertise ait été effectuée à la demande d'un assureur en indemnités journalières en cas de maladie - et donc pas selon la procédure fondée sur l'art. 44 LPGA (cf. ATF 141 V 330 consid. 3.2 ; 137 V 210 consid. 3.4.2.9) - ne s'oppose pas à sa valeur probante pour l'évaluation du droit à la rente en matière AI. Cependant, l'appréciation des preuves doit répondre à des exigences strictes. En cas de doute, même minime, au sujet de la fiabilité et de la cohérence de l'expertise, il convient de procéder à des mesures d'instruction complémentaires, comme pour les appréciations médicales internes à l'assurance. Une "expertise externe" n'a ainsi pas d'emblée la même valeur probante qu'une expertise réalisée par des médecins indépendants ordonnée par un tribunal ou par l'assureur selon l'art. 44 LPGA (arrêts du TF 8C_230/2019 du 2 juillet 2019 consid. 3.2 ; 8C_71/2016 du 1er juillet 2016 consid. 5 ; avec les réf. cit.).</w:t>
      </w:r>
    </w:p>
    <w:p>
      <w:r>
        <w:rPr>
          <w:b/>
        </w:rPr>
        <w:t>E. 7.3.5</w:t>
      </w:r>
    </w:p>
    <w:p>
      <w:r>
        <w:t>En présence de toute maladie psychique, la capacité de travail réellement exigible de la personne souffrant de ces troubles doit en principe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DSM-5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8</w:t>
      </w:r>
    </w:p>
    <w:p>
      <w:r>
        <w:t>En l'espèce, l'OAIE s'est fondé sur l'appréciation du SMR pour rendre la décision dont est recours. Il s'agit ainsi de déterminer si l'on peut conférer pleine valeur probante à l'évaluation médicale du Dr I._______ (cf. prises de position des 14 mars 2025 et 28 octobre 2025 [ci-dessus, let. B.d et C.b]).</w:t>
      </w:r>
    </w:p>
    <w:p>
      <w:r>
        <w:rPr>
          <w:b/>
        </w:rPr>
        <w:t>E. 8.1</w:t>
      </w:r>
    </w:p>
    <w:p>
      <w:r>
        <w:t>Le médecin du SMR se distancie du rapport d'expertise du Dr G._______ du 4 janvier 2024, arguant que ce dernier s'est essentiellement basé sur des éléments non médicaux - soit un climat de travail conflictuel - pour fixer la capacité de travail de la recourante dans une activité respectant ses limitations fonctionnelles (cf. ci-dessus, let. B.d et C.b). Il convient ainsi de se pencher sur l'évaluation du Dr G._______.</w:t>
      </w:r>
    </w:p>
    <w:p>
      <w:r>
        <w:rPr>
          <w:b/>
        </w:rPr>
        <w:t>E. 8.1.1.1</w:t>
      </w:r>
    </w:p>
    <w:p>
      <w:r>
        <w:t>Dans son rapport du 4 janvier 2024, l'expert psychiatre indique notamment, au sujet de l'anamnèse actuelle, le décès de la mère et du frère de la recourante et un climat de travail tendu notamment. En plus, le médecin indique une perte de poids de 10 kg une année auparavant, un traitement médical lourd en mai-juin 2023, qui ne permettait pas à l'intéressée de se lever, et à la suite duquel l'expertisée a eu une embolie pulmonaire. Au niveau du status psychiatrique, le médecin indique que l'intéressée se plaint principalement de fatigue et de faiblesse, de douleurs musculaires, ajoutant avoir de la peine à déglutir.</w:t>
      </w:r>
    </w:p>
    <w:p>
      <w:r>
        <w:rPr>
          <w:b/>
        </w:rPr>
        <w:t>E. 8.1.1.2</w:t>
      </w:r>
    </w:p>
    <w:p>
      <w:r>
        <w:t>Par ailleurs, le Dr G._______ décrit le déroulement d'une journée type, lors de laquelle l'expertisée se lève à 6h00, va manger quelque chose et se recouche, pour ensuite se lever à 8h30 et regarder la télévision, faire la lessive, et essayer de faire des exercices pour se remuscler. Aussi, l'expert indique que la recourante prépare le repas de midi et que, l'après-midi, elle regarde la télévision, fait le travail administratif et fait son lit. Le soir, la recourante dit préparer le repas, mettre la vaisselle dans la machine et regarder un feuilleton, pour ensuite aller se coucher à 21h00. N'ayant pas repris de lecture, la recourante s'endort vers 23h00. Aussi, elle dit avoir des visites à la maison de sa famille et sa belle-famille.</w:t>
      </w:r>
    </w:p>
    <w:p>
      <w:r>
        <w:rPr>
          <w:b/>
        </w:rPr>
        <w:t>E. 8.1.1.3</w:t>
      </w:r>
    </w:p>
    <w:p>
      <w:r>
        <w:t>En particulier, l'expert relève l'absence d'un épisode dépressif, mais la persistance de symptômes résiduels sous forme d'une baisse de morale, d'angoisse occasionnelle qui se manifeste par une difficulté à avaler ou une respiration bloquée, et une perte de l'élan vital. De surcroît, le Dr G._______ fait état de symptômes d'anxiété légère sous forme de palpitations occasionnelles et d'une dysphagie qui s'aggrave lorsque la recourante est fatiguée.</w:t>
      </w:r>
    </w:p>
    <w:p>
      <w:r>
        <w:rPr>
          <w:b/>
        </w:rPr>
        <w:t>E. 8.1.1.4</w:t>
      </w:r>
    </w:p>
    <w:p>
      <w:r>
        <w:t>En ce qui concerne les limitations fonctionnelles, le Dr G._______ indique que celles-ci sont modérées sur le plan psychique et souligne qu'iI faut aussi tenir compte du manque de motivation de l'intéressée à reprendre le travail en raison des conflits qu'elle a vécus, et de l'importance des troubles somatiques.</w:t>
      </w:r>
    </w:p>
    <w:p>
      <w:r>
        <w:rPr>
          <w:b/>
        </w:rPr>
        <w:t>E. 8.1.2.1</w:t>
      </w:r>
    </w:p>
    <w:p>
      <w:r>
        <w:t>Le Tribunal constate en particulier que le Dr G._______, s'il fournit certes des éléments anamnestiques, décrit les plaintes exprimées et le déroulement d'une journée type, et explique quelles sont les limitations fonctionnelles, n'analyse cependant pas ces dernières dans un cadre global selon une approche structurée, et ne met donc pas véritablement en lumière leur impact dans la vie de tous les jours de la recourante (cf. ci-dessus, consid. 7.3.5). Ainsi, l'expert psychiatre, qui retient un trouble à symptomatologie somatique et un trouble anxieux léger, sans précision (cf. ci-dessus, let. B.a), ne se prononce pas explicitement sur les ressources dont dispose la recourante pour faire face à ces diagnostics. Il ne ressort en effet pas clairement du rapport du Dr G._______ pourquoi les limitations fonctionnelles qu'il retient - et qu'il qualifie lui-même de modérées - ne permettent que l'exercice d'une activité adaptée à 50 %. Le Tribunal peine ainsi à comprendre, sur la base des constatations de l'expert, la raison pour laquelle une perte modérée de l'élan vital, une légère anxiété psychique et une dysphagie d'origine psychogène pouvant s'aggraver dans des situations de fatigue (cf. ci-dessus, let. B.a et p. 6 s. du rapport d'expertise) ont un impact aussi important sur la capacité de travail dans une activité adaptée, la réduisant de 50 %.</w:t>
      </w:r>
    </w:p>
    <w:p>
      <w:r>
        <w:rPr>
          <w:b/>
        </w:rPr>
        <w:t>E. 8.1.2.2</w:t>
      </w:r>
    </w:p>
    <w:p>
      <w:r>
        <w:t>Compte tenu des éléments précités, l'expertise du Dr G._______ - qui a été mandaté par l'assureur perte de gain maladie et pas par un assureur social selon la procédure fondée sur l'art. 44 LPGA (cf. ci-dessus, consid. 7.3.4) - n'est pas suffisamment cohérente pour permettre de trancher l'objet du litige, et ce en raison également de ce qui sera illustré ci-dessous en lien avec le cadre médical global (cf. consid. 8.3). Par conséquent, sur la base de cette seule évaluation psychiatrique, l'autorité précédente ne pouvait pas retenir, au degré de la vraisemblance prépondérante, une réduction de la capacité de travail de la recourante, si bien que l'OAIE pouvait se rallier au médecin du SMR, qui n'a pas fait siennes les conclusions de l'expert quant à l'aptitude médicale de l'intéressée à exercer une activité lucrative adaptée à son état de santé.</w:t>
      </w:r>
    </w:p>
    <w:p>
      <w:r>
        <w:rPr>
          <w:b/>
        </w:rPr>
        <w:t>E. 8.2</w:t>
      </w:r>
    </w:p>
    <w:p>
      <w:r>
        <w:t>Il reste à examiner si les autres pièces au dossier permettent de valider la prise de position du Dr I._______.</w:t>
      </w:r>
    </w:p>
    <w:p>
      <w:r>
        <w:rPr>
          <w:b/>
        </w:rPr>
        <w:t>E. 8.2.1</w:t>
      </w:r>
    </w:p>
    <w:p>
      <w:r>
        <w:t>Comme il a été mentionné ci-dessus (let. B.d), le médecin du SMR dit suivre les conclusions du médecin traitant, le Dr H._______, pour retenir une pleine capacité de travail dans une activité adaptée exercée dans un autre contexte professionnel. Or, le Tribunal constate que le Dr H._______, s'il indique, dans son rapport du 10 janvier 2024 (cf. ci-dessus, let. B.b), qu'on peut attendre une capacité de travail de 100 % dans une activité adaptée à l'atteinte à la santé de la recourante, ne confirme pas une telle capacité de travail dans son rapport subséquent du 26 juillet 2024 (OAI pce 26), répondant par « NSP » à la question de savoir quelle est la capacité de travail dans une activité strictement adaptée aux limitations fonctionnelles. Par ailleurs, dans un autre rapport du 29 juillet 2024 (annexe 8 à TAF pce 1), le Dr H._______ souligne que l'activité habituelle, à la place de travail actuelle, n'est pas exigible et qu'elle n'est pas non plus envisageable dans un autre environnement de travail. Aussi, le médecin indique qu'il n'y a pas de motifs non médicaux ayant une influence sur la capacité de travail. Et le médecin d'ajouter qu'une augmentation de la capacité de travail dans l'activité actuelle n'est pas possible, mettant en exergue l'état psychologique. Aussi, le Dr H._______ précise qu'une autre activité adaptée à l'évolution de la maladie n'est ni possible ni raisonnable, et ce en raison du syndrome dépressif.</w:t>
      </w:r>
    </w:p>
    <w:p>
      <w:r>
        <w:rPr>
          <w:b/>
        </w:rPr>
        <w:t>E. 8.2.2</w:t>
      </w:r>
    </w:p>
    <w:p>
      <w:r>
        <w:t>Il découle de ce qui précède que l'on ne peut retenir, comme le fait le Dr I._______ sur la base de l'appréciation du médecin généraliste traitant, une capacité de travail de 100 % dans l'exercice d'une activité lucrative adaptée à l'état de santé de la recourante depuis le 29 décembre 2023 (OAI pce 51 p. 2). En effet, une telle capacité de travail est clairement contredite dans le rapport du Dr H._______ du 29 juillet 2024. Bien plutôt, ce dernier rapport met en exergue la problématique psychiatrique, notamment le syndrome dépressif, et l'absence de motifs non médicaux influençant la capacité de travail - étant au demeurant précisé que le rapport du Pôle urgences du Centre Hospitalier J._______ du 4 juin 2023 (OAI pce 53 p. 175 ss) mentionne un stress post incendie avec risque de mort - , contrairement à ce que retient le Dr I._______, qui insiste sur les facteurs psychosociaux (cadre de travail conflictuel) pour justifier sa position. En somme, le médecin du SMR se méprend lorsqu'il se base sur l'appréciation du Dr H._______ pour fixer à 100 % la capacité de travail dans une activité adaptée, une lecture attentive de l'ensemble des rapports rédigés par le médecin généraliste traitant ne permet pas de tirer une telle conclusion, étant au demeurant précisé que ni le Dr I._______ ni le Dr H._______ ne sont spécialisés en médecine psychiatrique.</w:t>
      </w:r>
    </w:p>
    <w:p>
      <w:r>
        <w:rPr>
          <w:b/>
        </w:rPr>
        <w:t>E. 8.3</w:t>
      </w:r>
    </w:p>
    <w:p>
      <w:r>
        <w:t>Le Tribunal constate de surcroît que les autres pièces au dossier ne permettent pas non plus de corroborer l'appréciation du médecin du SMR, à défaut d'une évaluation globale et structurée permettant de fixer, sur la base de diagnostics posés par des spécialistes, les capacités de travail, et leur évolution, de la recourante tant dans son activité lucrative habituelle que dans l'exercice d'un emploi adapté à son état de santé. Par ailleurs, comme le souligne également le Dr G._______ (cf. ci-dessus, let. B.a), les pièces du dossier mettent en exergue un cadre pathologique caractérisé par la présence de plusieurs affections somatiques. Ainsi, l'impact global qu'ont (ont eu) les maladies physiques de la recourante se doit d'être appréhendé dans une approche interdisciplinaire englobant, en plus de la psychiatrie, des disciplines médicales aptes à analyser l'atteinte à la moelle osseuse, la maladie thromboembolique veineuse et la thrombocytémie essentielle hémorragique (cf. rapport d'hématologie du 24 février 2022 précité notamment [let. B.a], mettant de surcroît en exergue une notion de flou visuel avec suspicion d'accident ischémique transitoire en 2015 sous Kardegic).</w:t>
      </w:r>
    </w:p>
    <w:p>
      <w:r>
        <w:rPr>
          <w:b/>
        </w:rPr>
        <w:t>E. 8.4</w:t>
      </w:r>
    </w:p>
    <w:p>
      <w:r>
        <w:t>En résumé, le médecin du SMR ne pouvait se baser sur les pièces médicales au dossier pour se prononcer en l'espèce, ni l'autorité inférieure sur les appréciations du SMR pour justifier, dans la décision dont est recours, le rejet de la demande de rente de l'assurance-invalidité. Pour déterminer les circonstances médicales pertinentes, l'OAIE s'est en effet contenté de solliciter l'appréciation documentaire du Dr I._______, qui s'est prononcé sans disposer de la documentation médicale complète, laquelle ne permet pas, en l'état, l'établissement non lacunaire de l'état de santé de la recourante.</w:t>
      </w:r>
    </w:p>
    <w:p>
      <w:r>
        <w:rPr>
          <w:b/>
        </w:rPr>
        <w:t>E. 9.1</w:t>
      </w:r>
    </w:p>
    <w:p>
      <w:r>
        <w:t>Au vu de ce qui précède, le Tribunal constate que la documentation versée au dossier n'est pas suffisante pour porter un jugement valable sur le droit litigieux et établir, au degré de la vraisemblance prépondérante, l'état de santé de l'intéressée, les limitations fonctionnelles qu'elle subit et leurs conséquences sur sa capacité de travail. Il s'avère ainsi nécessaire de clarifier les faits de la cause.</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9.3</w:t>
      </w:r>
    </w:p>
    <w:p>
      <w:r>
        <w:t>L'instruction à venir concernera l'état de santé de la recourante dans son ensemble. Dès lors, l'autorité précédente mettra en oeuvre une expertise médicale pluridisciplinaire dans les disciplines de la médecine interne générale, de la psychiatrie, de l'angiologie, de l'hématologie et de de la neurologie, ainsi que dans toute autre discipline jugée nécessaire par les experts (ATF 139 V 349 consid. 3.3). Cette expertise devra répondre en particulier aux exigences de la jurisprudence du Tribunal fédéral en matière de maladies psychiques (ATF 143 V 418 ; 143 V 409 ; 141 V 281).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7m de l'ordonnance du 11 septembre 2002 sur la partie générale du droit des assurances sociales [OPGA, RS 830.11]), dans le respect des droits de participation de la recourante (art. 44 LPGA ; ATF 137 V 210 consid. 3.4.2.9) et de l'art. 72bis RAI (art. 81 du règlement [CE] n° 883/2004 ; ATF 139 V 349 consid. 5.2.1 ; arrêt du TF 9C_174/2020 du 2 novembre 2020 consid. 7 ; arrêts du TAF C-2141/2020 du 27 mars 2023 consid. 13 ; C-2578/2022 du 16 mars 2023 consid. 8 ; C-6862/2019 du 3 août 2021 consid. 5.3).</w:t>
      </w:r>
    </w:p>
    <w:p>
      <w:r>
        <w:rPr>
          <w:b/>
        </w:rPr>
        <w:t>E. 10</w:t>
      </w:r>
    </w:p>
    <w:p>
      <w:r>
        <w:t>Vu ce qui précède, le recours contre la décision du 3 juillet 2025 doit être admis et la décision attaquée annulée, la cause étant renvoyée à l'autorité inférieure pour instruction complémentaire dans le sens des considérants et nouvelle décision.</w:t>
      </w:r>
    </w:p>
    <w:p>
      <w:r>
        <w:rPr>
          <w:b/>
        </w:rPr>
        <w:t>E. 11.1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arrêts du TF 8C_473/2017 du 21 février 2018 consid. 6 ; 8C_75/2017 du 24 octobre 2017 consid. 6).</w:t>
      </w:r>
    </w:p>
    <w:p>
      <w:r>
        <w:rPr>
          <w:b/>
        </w:rPr>
        <w:t>E. 11.2</w:t>
      </w:r>
    </w:p>
    <w:p>
      <w:r>
        <w:t>Vu l'issue du litige, il n'est pas perçu de frais de procédure. La partie recourante a en effet obtenu gain de cause et aucun frais de procédure ne peut être mis à la charge de l'autorité inférieure (art. 63 al. 1 et 2 PA). Par conséquence, l'avance de frais de Fr. 800.- versée par la partie recourante (TAF pce 4) lui sera remboursée dès l'entrée en force du présent arrêt, sur le compte bancaire ou postal qu'elle aura désigné au Tribunal administratif fédéral.</w:t>
      </w:r>
    </w:p>
    <w:p>
      <w:r>
        <w:rPr>
          <w:b/>
        </w:rPr>
        <w:t>E. 11.3</w:t>
      </w:r>
    </w:p>
    <w:p>
      <w:r>
        <w:t>Par ailleurs, conformément aux art. 64 al. 1 PA et 7 al. 1 du règlement du 21 février 2008 concernant les frais, dépens et indemnités fixés par le Tribunal administratif fédéral (FITAF, RS 173.320.2), le Tribunal peut allouer à la partie ayant obtenu gain de cause des dépens pour les frais indispensables et relativement élevés qui lui ont été occasionnés par le litige. Il se justifie en l'espèce d'allouer des dépens à la partie recourante, laquelle obtient gain de cause avec l'assistance d'une mandataire. En l'absence d'un décompte de prestations de la part de cette dernière, le Tribunal fixe les dépens sur la base du dossier (art. 14 FITAF), en tenant compte notamment de l'importance de l'affaire, du degré de difficulté de celle-ci et de l'ampleur du travail accompli par le conseil de la recourante, lequel a consisté en l'occurrence en la rédaction d'un recours de 10 pages (accompagné d'un bordereau de 8 pièces) et d'une réplique d'une page. Il convient dès lors d'allouer à la partie recourante (Lukas Müller, in : Praxiskommentar VwVG, 3e éd. 2023, art. 64 N 15), à la charge de l'autorité inférieure, des dépens d'un montant de Fr. 1'000.-, étant souligné que la recourante est représentée par une juriste du syndicat Unia et non pas par un avocat (cf. notamment arrêt du TF 8C_527/2021 du 16 décembre 2021 consid. 6 et arrêt du TAF C-2582/2023 du 24 octobre 2025 consid. 13.3 et la réf. cit.).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