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C-6709/2007 vom 23. Oktober 2009</w:t>
      </w:r>
    </w:p>
    <w:p>
      <w:r>
        <w:t>Bundesverwaltungsgericht, 2009-10-23, DE</w:t>
      </w:r>
    </w:p>
    <w:p>
      <w:r>
        <w:rPr>
          <w:b/>
        </w:rPr>
        <w:t xml:space="preserve">Quelle: </w:t>
      </w:r>
      <w:r>
        <w:t>https://mcp.opencaselaw.ch/entscheid/bvger_C-6709_2007</w:t>
      </w:r>
    </w:p>
    <w:p>
      <w:r>
        <w:t>FR: TAF C-6709/2007 du 23 octobre 2009</w:t>
      </w:r>
    </w:p>
    <w:p>
      <w:r>
        <w:t>IT: TAF C-6709/2007 del 23 ottobre 2009</w:t>
      </w:r>
    </w:p>
    <w:p>
      <w:pPr>
        <w:pStyle w:val="Heading2"/>
      </w:pPr>
      <w:r>
        <w:t>Regeste</w:t>
      </w:r>
    </w:p>
    <w:p>
      <w:r>
        <w:t>Berufliche Vorsorge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wie hier, keine Ausnahme nach Art. 32 VGG vorliegt. Als Vorinstanzen gelten die in Art. 33 VGG genannten Behörden. 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w:t>
      </w:r>
    </w:p>
    <w:p>
      <w:r>
        <w:rPr>
          <w:b/>
        </w:rPr>
        <w:t>E. 2.1</w:t>
      </w:r>
    </w:p>
    <w:p>
      <w:r>
        <w:t>Anfechtungsgegenstand des vorliegenden Verfahrens ist der Verwaltungsakt der Vorinstanz vom 20. September 2007, welcher eine Verfügung im Sinne von Art. 5 VwVG darstellt.</w:t>
      </w:r>
    </w:p>
    <w:p>
      <w:r>
        <w:rPr>
          <w:b/>
        </w:rPr>
        <w:t>E. 2.2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Die Beschwerdeführer waren Stiftungsräte der Personalfürsorgestiftung, gegen welche sich die von der Vorinstanz angeordneten aufsichtsrechtlichen Massnahmen richten. Sie sind daher von der angefochtenen Verfügung unmittelbar betroffen und von dieser besonders berührt. Zudem haben sie am vorinstanzlichen Verfahren teilgenommen. Sie sind daher im Sinne von Art. 48 VwVG zur Beschwerde legitimiert. Die Beschwerdeführer haben frist- und formgerecht Beschwerde erhoben (Art. 50 und 52 VwVG). Nachdem sie auch den verfügten Kostenvorschuss fristgemäss geleistet haben, ist auf ihre Beschwerde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 Isabelle Häner, Verwaltungsverfahren und Verwaltungsrechtspflege des Bundes, 2. Aufl., Zürich 1998, Rz 627).</w:t>
      </w:r>
    </w:p>
    <w:p>
      <w:r>
        <w:rPr>
          <w:b/>
        </w:rPr>
        <w:t>E. 4</w:t>
      </w:r>
    </w:p>
    <w:p>
      <w:r>
        <w:t>Gemäss Art. 62 Abs. 1 BVG wacht die Aufsichtsbehörde darüber, dass die Vorsorgeeinrichtung die gesetzlichen Vorschriften einhält,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 Gemäss Art. 62 Abs. 1 Bst. d BVG trifft die Aufsichtsbehörde die Massnahmen zur Behebung von Mängeln. Hierzu stehen ihr präventive und repressive Aufsichtsmittel zur Verfügung. Mittels des repressiven Handelns soll der rechtmässige Zustand wieder hergestellt werden, während die präventiven Mittel darauf ausgelegt sind, gesetzes- und statutenwidriges Verhalten der Vorsorgeeinrichtung durch eine laufende Kontrolle ihrer Geschäftstätigkeit zu verhindern (Isabelle Vetter-Schreiber, Staatliche Haftung bei mangelhafter BVG-Aufsichtstätigkeit, Zürich 1996, S. 61 f.; Hans Michael Riemer / Gabriela Riemer-Kafka, a.a.O., S. 65 f.).</w:t>
      </w:r>
    </w:p>
    <w:p>
      <w:r>
        <w:rPr>
          <w:b/>
        </w:rPr>
        <w:t>E. 4.1</w:t>
      </w:r>
    </w:p>
    <w:p>
      <w:r>
        <w:t>Als repressive Aufsichtsmittel kommen unter anderem die Mahnung pflichtvergessener Organe, das Erteilen von Weisungen oder Auflagen in Frage, soweit die Vorsorgeeinrichtung keinen Ermessensspielraum hat, auch die Aufhebung und Änderung von Entscheiden oder Erlassen der Stiftungsorgane, wenn und soweit diese gesetzes- oder urkundenwidrig sind, im Weiteren die Abberufung und Neueinsetzung von Stiftungsorganen und Liquidatoren, die Ersatzvornahme durch Dritte auf Kosten der Stiftung oder die Einsetzung eines Beistandes oder eines interimistischen Stiftungsrates unter gleichzeitiger Enthebung des ordentlichen Stiftungsrates. Diese Aufzählung ist nicht abschliessend, und die Kantone können die Aufsichtsmittel in ihren kantonalen Ausführungserlassen regeln (Isabelle Vetter-Schreiber, a.a.O., S. 63 ff.; Hans Michael Riemer / Gabriela Riemer-Kafka, a.a.O., S. 65 f.). Die hier nach Art. 61 Abs. 1 BVG anwendbare kantonale Verordnung vom 10. November 1993 betreffend die Aufsicht über die Stiftungen und die Vorsorgeeinrichtungen (Stiftungsverordnung; StiV, BSG 212.223.1) führt in Art. 25 Abs. 3 die Aufsichtsmittel konkret auf, welche die Aufsichtsbehörde zur Behebung der festgestellten Mängel trifft. Auf Grund der dargelegten gesetzlichen Bestimmungen steht fest, dass die Aufsichtsbehörde bloss dann mittels Massnahmen repressiv eingreifen kann, falls sie im Handeln der Vorsorgeeinrichtung einen Verstoss gegen gesetzliche oder statutarische Vorschriften erkennt. Dabei hat sie den Grundsatz der Verhältnismässigkeit zu beachten. Die Aufsichtstätigkeit ist mithin als eine Rechtskontrolle ausgestaltet (Isabelle Vetter-Schreiber, a.a.O., S. 33f.; Carl Helbling, a.a.O., S. 556).</w:t>
      </w:r>
    </w:p>
    <w:p>
      <w:r>
        <w:rPr>
          <w:b/>
        </w:rPr>
        <w:t>E. 5.1</w:t>
      </w:r>
    </w:p>
    <w:p>
      <w:r>
        <w:t>Die Vorinstanz hat in der angefochtenen Verfügung den Stiftungsrat, bestehend aus den Beschwerdeführern, mit sofortiger Wirkung abgesetzt (Dispositionsziffer 1) und eine kommissarische Verwaltung angeordnet (Dispositivziffer 3). Die Abberufung des Stiftungsrates aus seiner Funktion stellt den schwerwiegendsten Eingriff dar. Er ist deshalb besonders sorgfältig auf die Vereinbarkeit mit dem Grundsatz der Verhältnismässigkeit zu prüfen (Isabelle Vetter-Schreiber, a.a.O. S. 69). Dabei fragt sich, ob die Personalfürsorgestiftung nicht auch mit milderen Massnahmen zur Beachtung der gesetzlichen Vorgaben zu bewegen gewesen wäre.</w:t>
      </w:r>
    </w:p>
    <w:p>
      <w:r>
        <w:rPr>
          <w:b/>
        </w:rPr>
        <w:t>E. 5.2</w:t>
      </w:r>
    </w:p>
    <w:p>
      <w:r>
        <w:t>Die Vorinstanz macht geltend, die Beschwerdegegnerin habe ihre gesetzliche Berichterstattungspflicht grob verletzt, indem sie die Jahresrechnungen sowie den Bericht der Kontrollstelle für das Geschäftsjahr 2003 nur nach mehrmaliger Mahnung und unter Androhung weiterer aufsichtsrechtlicher Massnahmen eingereicht habe, während die Berichterstattungsunterlagen für die Jahre 2004, 2005 und 2006 trotz Abmahnen und der Auferlegung einer Busse noch immer ausstehend seien. Durch dieses Verhalten könne sich die Vorinstanz kein Bild über die effektive finanzielle Lage der Personalfürsorgestiftung verschaffen. Die Beschwerdeführer stellen nicht grundsätzlich in Abrede, dass sie ihren gesetzlichen Berichterstattungspflichten nicht fristgerecht nachgekommen sind. Sie rechtfertigen ihr Versäumnis aber dahingehend, die Berichterstattung habe sich aufgrund der länger anhaltenden und bedeutenden Restrukturierung der Unternehmung verzögert. Diese solle in den nächsten 2 Monaten nun abgeschlossen werden. Die Jahresrechnungen 2004 und 2005 seien der Vorinstanz im Übrigen am 15. Mai 2007 eingereicht worden. Der Kontrollstellenbericht werde nachgereicht, ebenso die Jahresberichterstattung 2006.</w:t>
      </w:r>
    </w:p>
    <w:p>
      <w:r>
        <w:rPr>
          <w:b/>
        </w:rPr>
        <w:t>E. 5.3</w:t>
      </w:r>
    </w:p>
    <w:p>
      <w:r>
        <w:t>Den Akten lässt sich entnehmen, dass die Vorinstanz mit Verfügung vom 14. Dezember 2006 (act. 18/8) die Personalfürsorgestiftung aufforderte, die Jahresberichte, die vom Stiftungsrat unterzeichneten Jahresrechnungen und den Bericht der Kontrollstelle für die Jahre 2004 und 2005 innert 10 Tagen unter Androhung einer Busse bis zu Fr. 4'000.- im Widerhandlungsfall einzureichen. Dies mit der Begründung, die Berichterstattungsunterlagen seien zuvor trotz Mahnungen vom 4. August und 3. November 2006 innert der gesetzten Fristen nicht eingereicht worden. Nachdem diese Unterlagen innert der verfügten Frist bei der Vorinstanz nicht eingetroffen sind, hat diese mit Verfügung vom 27. März 2007 (act. 18/9) der Präsidentin des Stiftungsrates (Beschwerdeführerin 2) wegen dieses Versäumnisses eine Busse von Fr. 1'000.- auferlegt und die Personalfürsorgestiftung nochmals zur Einreichung der genannten Berichterstattungsunterlagen innert 14 Tagen unter Androhung der Absetzung der Stiftungsräte und der Einsetzung einer kommissarischen Verwaltung im Widerhandlungsfall aufgefordert. Mit Schreiben vom 18. Juni 2007 (act. 18/11) hat die Vorinstanz den Eingang der Jahresrechnungen für die Geschäftsjahre 2004 und 2005 bestätigt, indes die noch immer ausstehenden Kontrollstellenberichte moniert und der Personalfürsorgestiftung angedroht, den Stiftungsrat mit einer Verfügung abzusetzen und die kommissarische Verwaltung einzusetzen. Das umfassende Einsichts- und Informationsrecht der Aufsichtsbehörde gemäss Art. 62 Abs. 1 Bst. c BVG stellt ein geeignetes präventives Aufsichtsmittel dar (ISABELLE VETTER-SCHREIBER, a.a.O. S. 63). Es findet sein Korrelat in der Berichterstattungspflicht (Art. 62 Abs. 1 Bst. b BVG, Art. 47 BVV 2) sowie der Informationspflicht (Art. 65a Abs. 3 BVG i.V.m. Art. 89bis Abs. 6 Ziff. 15 ZGB) der Vorsorgeeinrichtung. Gemäss Art. 12a der kantonalen Stiftungsverordnung sind die Berichterstattungsunterlagen (Jahresbericht, Jahresrechnung und Bericht der Kontrollstelle) alljährlich innert 6 Monaten nach dem Rechnungsabschluss einzureichen. Diese Frist hat die Beschwerdegegnerin hinsichtlich der erwähnten Geschäftsjahre versäumt und wurde daher von der Vorinstanz zu Recht gemahnt. Die Beschwerdegegnerin ist zudem auch nach Anordnung von milderen Aufsichtsmassnahmen als die verfügte - wie Mahnung verbunden mit der Androhung schärferer Massnahmen sowie die Auferlegung einer Busse - ihren Berichterstattungspflichten nicht nachgekommen. Der Vorinstanz ist ebenfalls zuzustimmen, dass ohne diese Unterlagen eine gesicherte Beurteilung der finanziellen Lage nicht möglich ist. Letzteres war vorliegend besonders wichtig im Hinblick auf die von der Vorinstanz ergriffenen Massnahmen im Bereich der Vermögensanlage, auf welche nachfolgend in Erwägung 6 näher eingegangen wird.</w:t>
      </w:r>
    </w:p>
    <w:p>
      <w:r>
        <w:rPr>
          <w:b/>
        </w:rPr>
        <w:t>E. 6.1</w:t>
      </w:r>
    </w:p>
    <w:p>
      <w:r>
        <w:t>Die Vorinstanz macht des Weiteren geltend, die Beschwerdegegnerin bzw. deren Stiftungsrat habe sich trotz mehrerer Mahnungen geweigert, wie von der Vorinstanz verlangt, das der Stifterfirma gewährte Darlehen abzubauen. Dieses Darlehen sei ungesichert, überschreite die gesetzlich erlaubte Begrenzung bei weitem und stelle ein Klumpenrisiko dar, was auch die Kontrollstelle beanstandet habe. Zudem sei die Werthaltigkeit infolge der mangelnden Bonität der Schuldnerin (Stifterfirma) nicht gewährleistet.</w:t>
      </w:r>
    </w:p>
    <w:p>
      <w:r>
        <w:rPr>
          <w:b/>
        </w:rPr>
        <w:t>E. 6.2</w:t>
      </w:r>
    </w:p>
    <w:p>
      <w:r>
        <w:t>Aus den aktenkundigen Jahresrechnungen 2003 - 2005 (act. 18/5 und 18/10) geht hervor, dass die Personalfürsorgestiftung gegenüber der S._______AG (Stifterfirma) ein Darlehen aufweist, für welches keine Sicherheiten aufgeführt werden. Dieses Darlehen betrug zusammen mit den aufgelaufenen Zinsen in den Jahren 2002 Fr. 332'535.-, 2003 Fr. 349'161.75, 2004 Fr. 362'209.10 und 2005 Fr. 375'843.15. Daraus ist ersichtlich, dass dieses Darlehen nicht gemäss den Weisungen der Aufsichtsbehörde abgebaut wurde. Dass diese Massnahme gerechtfertigt war, ergibt sich ohne Weiteres dadurch, dass die Höhe des Darlehens in den Jahren 2002 rund 83 %, 2003 und 2004 rund 81% und 2005 rund 77 % des Vermögens betrug und das Darlehen damit weitaus das grösste Aktivum der Personalfürsorgestiftung darstellte. Demgegenüber lagen die gesetzlich vorgeschriebenen Begrenzungen für ungesicherte Anlagen beim Arbeitgeber bei 20 % des Vermögens bis zum 31. Dezember 2005, ab dem 1. Januar 2006 liegen sie bei 5 % des Vermögens (Art. 89bis Abs. 6 Ziff. 18 ZGB i.V.m. Art. 71 BVG sowie Art. 57 Abs. 2 sowie Abs. 2 der Schlussbestimmungen der Änderung vom 24. März 2004 der Verordnung vom 18. April über die berufliche Alters-, Hinterlassenen- und Invalidenvorsorge [BVV 2, SR 831.441.1 i.V.m. Art. 57 Abs. 2 BVV 2 in der bis zum 31. Dezember 2005 geltenden Fassung). Die Höhe dieses Darlehens überstieg somit die gesetzlich vorgeschriebenen Begrenzungen bei Weitem. Dies beanstandete auch die Kontrollstelle, R._______AG, in ihrem Bericht vom 27. Dezember 2004 (act. 18/5). Die Vorinstanz hat denn auch den raschen und umfassenden Abbau des Darlehens auf die gesetzlich zulässige Limite bereits mit Schreiben vom 17. März 1994 (act. 18/3) an die Personalfürsorgestiftung verlangt. Dies hat die Vorinstanz in der Folge mit Verfügung vom 6. Mai 2004 (act. 18/4) nochmals gerügt und die Personalfürsorgestiftung aufgefordert, einen Abzahlungsplan zu beschliessen, welcher die Rückzahlung des Darlehens inklusive aufgelaufener Zinsen bis zu 15 % der Aktiven vorsehe. Ebenso wurden weitere aufsichtsrechtliche Massnahmen im Widerhandlungsfall angedroht. In Bezug auf die Bonität der Schuldnerin hegte die Vorinstanz zudem Zweifel, welche ebenfalls gerechtfertigt sind. So führen die Beschwerdeführer selber sinngemäss aus, die S._______AG sei durch den Kauf und Verkauf der Fabrikliegenschaft in eine hohe Verschuldung geraten (act. 5). Dass schliesslich, wie die Vorinstanz geltend macht, eine Interessenskollision bei den Beschwerdeführern bestehe, ergibt sich ohne Weiteres aus dem Umstand, dass diese laut Handelsregistereintrag des Kantons Thurgau vom 13. März 2008 (act. 18/15) zugleich die einzigen Mitglieder des Verwaltungsrates der Stifterfirma sind, von welcher die Beschwerdegegnerin die Rückzahlung des Darlehens verlangen soll.</w:t>
      </w:r>
    </w:p>
    <w:p>
      <w:r>
        <w:rPr>
          <w:b/>
        </w:rPr>
        <w:t>E. 7</w:t>
      </w:r>
    </w:p>
    <w:p>
      <w:r>
        <w:t>Unter diesen Umständen und nach dem Gesagten erweisen sich die von der Vorinstanz angeordneten Massnahmen insgesamt als verhältnismässig, nachdem die Beschwerdeführer vorgängig durch verschiedene mildere Aufsichtsmassnahmen der Vorinstanz nicht zur Beachtung der gesetzlichen Vorschriften zu bewegen waren und sie auch deren Weisungen sowie aufsichtsrechtliche Verfügungen und Mahnungen missachtet haben. Die angefochtene Verfügung lässt sich daher nicht beanstanden. Demgegenüber sind die Beschwerdeführer mit ihren Rügen nicht durchgedrungen. Ihre Beschwerde ist somit aus den dargelegten Gründen abzuweisen.</w:t>
      </w:r>
    </w:p>
    <w:p>
      <w:r>
        <w:rPr>
          <w:b/>
        </w:rPr>
        <w:t>E. 8.1</w:t>
      </w:r>
    </w:p>
    <w:p>
      <w:r>
        <w:t>Dieser Ausgang des Verfahrens hat nach Art. 63 Abs. 1 VwVG zur Folge, dass die unterliegenden Beschwerdeführer kostenpflichtig werden. Nach dem Reglement vom 21. Februar 2008 über die Kosten und Entschädigungen vor dem Bundesverwaltungsgericht (VGKE, SR 173.320.2) werden die Verfahrenskosten im vorliegenden Fall auf Fr. 2'000.-- festgelegt. Diese werden mit dem einbezahlten Kostenvorschuss in gleicher Höhe verrechnet.</w:t>
      </w:r>
    </w:p>
    <w:p>
      <w:r>
        <w:rPr>
          <w:b/>
        </w:rPr>
        <w:t>E. 8.2</w:t>
      </w:r>
    </w:p>
    <w:p>
      <w:r>
        <w:t>Die Vorinstanz hat als verfügende 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