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C-6703/2007 vom 14. Juli 2008</w:t>
      </w:r>
    </w:p>
    <w:p>
      <w:r>
        <w:t>Bundesverwaltungsgericht, 2008-07-14, DE</w:t>
      </w:r>
    </w:p>
    <w:p>
      <w:r>
        <w:rPr>
          <w:b/>
        </w:rPr>
        <w:t xml:space="preserve">Quelle: </w:t>
      </w:r>
      <w:r>
        <w:t>https://mcp.opencaselaw.ch/entscheid/bvger_C-6703_2007</w:t>
      </w:r>
    </w:p>
    <w:p>
      <w:r>
        <w:t>FR: TAF C-6703/2007 du 14 juillet 2008</w:t>
      </w:r>
    </w:p>
    <w:p>
      <w:r>
        <w:t>IT: TAF C-6703/2007 del 14 luglio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Beschwerdeführerin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(materielle)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 Das Verfahren hingegen richtet sich nach dem neuen Recht (vgl. Art. 126 Abs. 2 AuG).</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4.4</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Gemäss World Bank Brief lag der Armutsanteil der Bevölkerung im Kosovo im Jahr 2005 bereits bei 37 % (Tendenz steigend). Der Zuwanderungsdruck aus dieser Region ist dementsprechend hoch, was sich auch in der schweizerischen Asylstatistik widerspiegelt. So stammten im Jahre 2007 9.2 % der Asylsuchenden aus Serbien (inklusive Kosovo) und diese Region steht damit in der Statistik der Asylgesuche nach Nationen an zweiter Stelle.</w:t>
      </w:r>
    </w:p>
    <w:p>
      <w:r>
        <w:rPr>
          <w:b/>
        </w:rPr>
        <w:t>E. 4.5</w:t>
      </w:r>
    </w:p>
    <w:p>
      <w:r>
        <w:t>In Anbetracht der seit längerem schwierigen Lage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5.1</w:t>
      </w:r>
    </w:p>
    <w:p>
      <w:r>
        <w:t>Beim Eingeladenen handelt es sich um einen 27-jährigen und seit März 2008 verheirateten Familienvater, welcher laut Angaben der Beteiligten seit Anfang 2006 als Verkäufer in einer Herren-Boutique arbeitete. Gemäss den eingereichten Beweismitteln soll er über eine bis Ende 2007 befristete Arbeitsstelle verfügt und ein monatliches Einkommen von 480 Euro erzielt haben (vgl. Arbeitsvertrag vom 1. Januar 2006). Dass er sich mit dieser Tätigkeit bereits eine gefestigte Existenz hat aufbauen können, erscheint angesichts der relativ kurzen Dauer der Erwerbstätigkeit sowie in Anbetracht der wirtschaftlichen Verhältnisse im Kosovo als wenig wahrscheinlich. Zudem ergeben sich aus den Akten keinerlei Hinweise, wonach der fragliche Arbeitsvertrag in der Zwischenzeit verlängert worden wäre. Zweifel sind auch hinsichtlich der angegebenen Lohnsumme angebracht, übersteigt diese doch den dortigen durchschnittlichen Monatslohn beträchtlich. Von einer starken beruflichen Verwurzelung im Heimatland kann jedenfalls zum heutigen Zeitpunkt (noch) nicht ausgegangen werden; dies umso weniger, als der Eingeladene offenbar problemlos und jederzeit einen mehrwöchigen Auslandurlaub beziehen kann.</w:t>
      </w:r>
    </w:p>
    <w:p>
      <w:r>
        <w:rPr>
          <w:b/>
        </w:rPr>
        <w:t>E. 5.2</w:t>
      </w:r>
    </w:p>
    <w:p>
      <w:r>
        <w:t>Die Beschwerdeführerin verweist ebenfalls auf das intakte familiäre Umfeld des Eingeladenen und bringt in diesem Zusammenhang vor, ihr Bruder habe im Heimatland familiäre Verpflichtungen wahrzunehmen. So sei er nicht nur Vater einer (inzwischen) zweijährigen Tochter, sondern habe sich auch um seinen 96-jährigen Grossvater zu kümmern, welchen er nie alleine lassen würde. Dieses Argument vermag nach Ansicht des Bundesverwaltungsgerichts schon deshalb nicht zu überzeugen, weil der Umstand, dass gleich eine mehrwöchige Landesabwesenheit geplant ist, nicht ohne weiteres darauf schliessen lässt, die Präsenz des Gesuchstellers sei für die Belange seiner Familie unverzichtbar; aufgrund der Aktenlage ist vielmehr davon auszugehen, die Pflege und Betreuung seiner Familienangehörigen könne durchaus für längere Zeit auch auf andere Weise sichergestellt werden; so hat denn auch die Beschwerdeführerin im vorinstanzlichen Verfahren darauf hingewiesen, während der Abwesenheit des Enkels sorge ein Onkel für den Grossvater im Kosovo. Insofern darf bezweifelt werden, dass dem Eingeladenen im Heimatland besondere Verpflichtungen obliegen, die ihn ernsthaft von einer Emigration abzuhalten vermöchten, zumal er mit seinen Eltern sowie seinen Geschwistern, die offenbar allesamt in der Schweiz leben, hierzulande bereits über ein enges, persönliches Beziehungsnetz verfügt.</w:t>
      </w:r>
    </w:p>
    <w:p>
      <w:r>
        <w:rPr>
          <w:b/>
        </w:rPr>
        <w:t>E. 5.3</w:t>
      </w:r>
    </w:p>
    <w:p>
      <w:r>
        <w:t>Berücksichtigt man zudem die oben erwähnte allgemeine wirtschaftliche Lage im Kosovo, dürften die mittelfristigen Zukunftsaussichten des Gesuchstellers zumindest als schwierig einzustufen sein. In Anbetracht feststellbarer Differenzen betreffend Lebensqualität, soziale Absicherung und Lohnniveau könnte nämlich selbst eine feste Arbeitsstelle im Heimatland für sich alleine nicht verlässlich vom Entschluss abhalten, aus dem Land zu emigrieren, ebenso wenig zurückbleibende Familienangehörige. Vielmehr könnte die Absicht auszuwandern gar von der Hoffnung getragen sein, die im Kosovo lebenden Angehörigen aus dem Ausland wirtschaftlich besser unterstützen und allenfalls später nachziehen zu können. Vor diesem Hintergrund müssen die Vorbringen auf Beschwerdeebene, wonach genügend Garantien für eine fristgerechte Wiederausreise vorhanden seien, als nicht ausschlaggebend bezeichnet werden. Im Übrigen hegte auch die Schweizerische Vertretung in Pristina, welche mit den sozialen, wirtschaftlichen und politischen Verhältnissen im Herkunftsstaat des Gesuchstellers gut vertraut ist und sich somit durchaus ein Bild des Einreisewilligen machen kann, grosse Bedenken bezüglich der anstandslosen Wiederausreise und verweigerte formlos die Einreisebewilligung.</w:t>
      </w:r>
    </w:p>
    <w:p>
      <w:r>
        <w:rPr>
          <w:b/>
        </w:rPr>
        <w:t>E. 5.4</w:t>
      </w:r>
    </w:p>
    <w:p>
      <w:r>
        <w:t>Unter den gegebenen Umständen durfte die Vorinstanz aus damaliger Sicht - wie bereits in ihrer Verfügung vom 2. Februar 2004, bei der ein gleichlautendes Begehren desselben Gesuchstellers abgewiesen worden war - zu Recht davon ausgehen, die Wiederausreise des Eingeladenen sei im Sinne der massgeblichen Bestimmungen nicht gesichert. Daran vermag auch die in der Zwischenzeit erfolgte Eheschliessung des Gesuchstellers nichts zu ändern, ebenso wenig die Tatsache, dass die Beschwerdeführerin die rechtzeitige Rückkehr des eingeladenen Bruders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C-2341/2006 vom 7. August 2007 E. 6).</w:t>
      </w:r>
    </w:p>
    <w:p>
      <w:r>
        <w:rPr>
          <w:b/>
        </w:rPr>
        <w:t>E. 5.5</w:t>
      </w:r>
    </w:p>
    <w:p>
      <w:r>
        <w:t>Darüber hinaus bestehen auch keine Hinweise dafür, dass die Einreiseverweigerung in den Schutzbereich des Privat- und Familienlebens eingreifen würde (Art. 13 der Bundesverfassung der Schweizerischen Eidgenossenschaft vom 18. April 1999 [BV, SR 101] und Art. 8 der Konvention zum Schutze der Menschenrechte und Grundfreiheiten vom 4. November 1950 [EMRK, SR 0.101]), verleiht doch keine dieser Bestimmungen einen Anspruch auf Einreise oder auf Verwirklichung des Familienlebens an einem bestimmten Ort (vgl. BGE 130 II 281 E. 3.1 [mit Hinweisen]; ferner Stephan Breitenmoser, in: Bernhard Ehrenzeller/Philippe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Von einem rechtfertigungsbedürftigen Grundrechtseingriff könnte - wenn überhaupt - allenfalls dann ausgegangen werden, wenn die Wahrnehmung familiärer Kontakte in zumutbarer Weise nur durch Besuche des Gesuchstellers in der Schweiz zu verwirklichen wäre, was in casu nicht zutrifft. Sowohl der Beschwerdeführerin, wie auch den übrigen, in der Schweiz lebenden Familienangehörigen steht nämlich weiterhin die Möglichkeit offen, ihren Bruder bzw. Sohn - gegebenenfalls zeitlich gestaffelt - im Kosovo zu besuchen. Aus den Akten ergeben sich jedenfalls keine Hinweise, wonach ihnen dies in Zukunft aus rechtserheblichen Gründen verwehrt sein sollte. Das von der Beschwerdeführerin nachgereichte Arztzeugnis vom 26. März 2008 spricht denn auch von einer vorläufigen, mithin bloss vorübergehenden Reiseunfähigkeit, die es ihrer Mutter zurzeit verunmögliche, die Familienangehörigen im Heimatland zu besuchen.</w:t>
      </w:r>
    </w:p>
    <w:p>
      <w:r>
        <w:rPr>
          <w:b/>
        </w:rPr>
        <w:t>E. 6</w:t>
      </w:r>
    </w:p>
    <w:p>
      <w:r>
        <w:t>Aus den dargelegten Gründen ist somit nicht zu beanstanden, dass die Vorinstanz das öffentliche Interesse sowie die Beachtung der geltenden Bestimmungen entsprechend gewichtete und dem Gesuchsteller die Einreise verweigerte. Die angefochtene Verfügung verletzt kein Bundesrecht. Der rechtserhebliche Sachverhalt wurde im Endergebnis richtig und vollständig festgestellt, und die Vorinstanz hat das ihr zustehende Ermessen pflichtgemäss und zutreffend gehandhabt (Art. 49 VwVG). Die Beschwerde ist demzufolge abzuweisen.</w:t>
      </w:r>
    </w:p>
    <w:p>
      <w:r>
        <w:rPr>
          <w:b/>
        </w:rPr>
        <w:t>E. 7</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