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C-6697/2009 vom 26. April 2011</w:t>
      </w:r>
    </w:p>
    <w:p>
      <w:r>
        <w:t>Bundesverwaltungsgericht, 2011-04-26, FR</w:t>
      </w:r>
    </w:p>
    <w:p>
      <w:r>
        <w:rPr>
          <w:b/>
        </w:rPr>
        <w:t xml:space="preserve">Quelle: </w:t>
      </w:r>
      <w:r>
        <w:t>https://mcp.opencaselaw.ch/entscheid/bvger_C-6697_2009</w:t>
      </w:r>
    </w:p>
    <w:p>
      <w:r>
        <w:t>FR: TAF C-6697/2009 du 26 avril 2011</w:t>
      </w:r>
    </w:p>
    <w:p>
      <w:r>
        <w:t>IT: TAF C-6697/2009 del 26 aprile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art.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 Comme avant l'entrée en vigueur de l'ALCP, le degré d'invalidité d'un assuré qui prétend à une rente de l'assurance-invalidité suisse est déterminé exclusivement d'après le droit suisse, étant précisé que la documentation médicale et administrative fournie par les institutions de sécurité sociale d'un autre Etat membre doit être prise en considération (art. 40 du Règlement [CEE] n° 574/72 précité).</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le nouveau droit n'a aucune influence sur le calcul des rentes d'invalidité mais que par contre il a introduit des dispositions plus restrictives quant à la naissance du droit à la rente au plus tôt et au temps de cotisation nécessaire pour avoir droit à une rente. En l'occurrence, quand bien même l'assurée a déposé sa demande en date du 8 janvier 2008, il ressort des actes de la cause que cette dernière a présenté une incapacité de travail dans sa profession habituelle d'au moins 20% avant l'entrée en vigueur du nouveau droit (cf. pces 26, 29, 30 p. 2 n° 3.4.4, 45, 48). Le délai d'attente d'une année a ainsi commencé à courir avant le 1er janvier 2008 (cf. Office fédéral des assurances sociales [OFAS] [éd.], Circulaire sur l'invalidité et l'impotence dans l'assurance-invalidité, état au 1er février 2010, n° 2010 s.). Conformément aux directives émises par l'OFAS (lettre-circulaire n° 253 du 12 décembre 2007), il se justifie dès lors d'appliquer le droit en vigueur jusqu'au 31 décembre 2007 pour déterminer à partir de quel moment l'éventuel droit à une rente aurait pu naître au plus tôt. Sauf indication contraire, les dispositions citées ci-après sont donc celles en vigueur jusqu'au 31 décembre 2007.</w:t>
      </w:r>
    </w:p>
    <w:p>
      <w:r>
        <w:rPr>
          <w:b/>
        </w:rPr>
        <w:t>E. 3.2</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8 janvier 2007 (12 mois avant le dépôt de la demande) ou si le droit à une rente était né entre cette date et le 14 septembre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La recourante a versé des cotisations à l'AVS/AI pendant plusieurs années (pce 6)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w:t>
      </w:r>
    </w:p>
    <w:p>
      <w:r>
        <w:rPr>
          <w:b/>
        </w:rPr>
        <w:t>E. 7</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2001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8</w:t>
      </w:r>
    </w:p>
    <w:p>
      <w:r>
        <w:t>Selon le rapport détaillé E 213 du 5 janvier 2009, l'assurée souffre d'une maladie de parkinson, d'une gonarthrose bilatérale, d'un épisode dépressif d'intensité modérée secondaire à son état de santé et d'asthme bronchique (pce 40 p. 8 n° 7). Par ailleurs, les rapports médicaux des 3 novembre 2008 (pce 37) et 14 mai 2009 (pce 60) mentionnent les diagnostics de litiasis urinaire, d'insuffisance veineuse du membre inférieur gauche, de syndrome cervico-brachial, de bronchectasie, d'asthme difficile à contrôler et de pansinusite. Le litige porte sur les répercussions de ces atteintes sur la capacité de travail de l'assurée, singulièrement sur le point de savoir si celle-ci présente un taux d'invalidité suffisant pour prétendre à des prestations de l'assurance-invalidité.</w:t>
      </w:r>
    </w:p>
    <w:p>
      <w:r>
        <w:rPr>
          <w:b/>
        </w:rPr>
        <w:t>E. 9.1</w:t>
      </w:r>
    </w:p>
    <w:p>
      <w:r>
        <w:t>Dans des rapports des 3 mars 2009 (pce 43), 14 mars 2009 (pce 45) et 4 septembre 2009 (pce 62), le Dr B._______, spécialiste en orthopédie et traumatologie du service médical de l'OAIE, pose le diagnostic avec répercussion sur la capacité de travail de maladie de Parkinson, stade II, et les diagnostics sans incidence sur la capacité de travail d'asthme bronchique contrôlé par traitement, de dépression réactionnelle simple et de gonathrose débutante. Il relève que l'intéressée présente une maladie de Parkinson "débutant en traitement médicamenteux" avec une symptomatologie de tremblements de repos au membres supérieur droit et une rigidité des membres supérieurs et inférieurs (pces 45, 62). En ce qui concerne l'asthme bronchique, il retient que les résultats pneumologiques ne contiennent aucun signe d'insuffisance respiratoire, de sorte que cette atteinte ne saurait entraîner une incapacité de travail pour une activité légère; il en va de même de la pansinusite qui peut certes expliquer une partie de l'asthme bronchique mais n'est en aucun cas une affection invalidante (pce 62). Le Dr B._______ souligne également que l'arthrose des genoux n'est pas documentée objectivement par des radiographies et l'intéressée ne présente pas de déficits à la marche selon le E 213. Il en infère que l'assurée a présenté une incapacité de travail dans la profession exercée avant l'atteinte à la santé de 20% dès le 1er juin 2003 et de 50% dès le 11 janvier 2008 (pce 45). En revanche, dès le 1er juin 2003, elle serait en mesure d'exercer un travail de substitution adapté à plein temps. Il donne à titre d'exemple les professions et activités suivantes: "surveillant de parking/musée; vente par correspondance; vendeur de billets; accueil/réceptionniste; standardiste/téléphoniste; saisie de donnée/scannage" (pce 45 p. 3).</w:t>
      </w:r>
    </w:p>
    <w:p>
      <w:r>
        <w:rPr>
          <w:b/>
        </w:rPr>
        <w:t>E. 9.2</w:t>
      </w:r>
    </w:p>
    <w:p>
      <w:r>
        <w:t>Cette appréciation est corroborée par la prise de position du Dr C._______, médecin généraliste également du service médical de l'OAIE. Dans un rapport du 15 juin 2006 (pce 67), ce praticien estime que l'assurée est avant tout handicapée par la maladie de Parkinson se trouvant en phase initiale; celle-ci occasionne une bradycinésie, des petits pas, une écriture en petits caractères, une rigidité musculaire et des tremblements discrets de repos; il s'ensuit que les gestes actifs de l'assurée comme la marche et les mouvements du bras connaissent des limitations fonctionnelles. Le Dr C._______ souligne toutefois que les activités de substitution proposées par le service médical de l'OAIE dans ses prises de position antérieures ne nécessitent pas de telles fonctions motrices. Selon lui, il existe sans aucun doute sur le marché du travail des activités effectuées en position assises qui requièrent des petits mouvements des mains (vendeur de billets, téléphoniste), étant précisé que la gonarthrose débutante ainsi que l'asthme ne font pas obstacle à de tels travaux. Pour ces motifs, il dit ne pas pouvoir se rallier à l'avis de sa consoeur de l'INSS qui a retenu une incapacité de travail totale de la recourante. Selon lui, cette praticienne n'a pas tenu compte des activités adaptées encore exigibles de la part de l'intéressée ou n'a en tous les cas pas motivé de façon concluante pour quelle raison l'exercice de celles-ci, notamment un travail devant un écran, ne serait plus possible.</w:t>
      </w:r>
    </w:p>
    <w:p>
      <w:r>
        <w:rPr>
          <w:b/>
        </w:rPr>
        <w:t>E. 9.3</w:t>
      </w:r>
    </w:p>
    <w:p>
      <w:r>
        <w:t>L'administration s'est fondée avant tout sur ces deux avis médicaux pour justifier le bien-fondé de l'acte entrepris. La recourante conteste ce point de vue en se basant sur divers rapports médicaux versés au dossier.</w:t>
      </w:r>
    </w:p>
    <w:p>
      <w:r>
        <w:rPr>
          <w:b/>
        </w:rPr>
        <w:t>E. 10.1</w:t>
      </w:r>
    </w:p>
    <w:p>
      <w:r>
        <w:t>Cela étant, force est de constater que, selon les avis unanimes des parties, l'affection principale dont est atteinte l'assurée est la maladie de Parkinson, à savoir une atteinte relevant du domaine de la neurologie. Or, il appert que les médecins de l'OAIE s'étant prononcé dans la présente affaire ne disposent pas de connaissances spécialisées en la matière de sorte que leur évaluation est sujette à caution, d'autant qu'ils n'ont pas examiné eux-mêmes la recourante (sur la jurisprudence y relative cf. supra consid. 7).</w:t>
      </w:r>
    </w:p>
    <w:p>
      <w:r>
        <w:rPr>
          <w:b/>
        </w:rPr>
        <w:t>E. 10.2</w:t>
      </w:r>
    </w:p>
    <w:p>
      <w:r>
        <w:t>Par ailleurs, le Tribunal administratif fédéral constate que les documents versés au dossier par l'assurée et l'INSS sont de nature à jeter le doute sur le bien-fondé des conclusions du service médical de l'OAIE. Il convient notamment de mettre en évidence les rapports suivants.</w:t>
      </w:r>
    </w:p>
    <w:p>
      <w:r>
        <w:rPr>
          <w:b/>
        </w:rPr>
        <w:t>E. 10.2.1</w:t>
      </w:r>
    </w:p>
    <w:p>
      <w:r>
        <w:t>Dans un certificat neurologique du 9 octobre 2007 (pce 23), le Dr D._______ relève que les symptômes de la maladie de Parkinson sont apparus en 2002 et que l'atteinte a été diagnostiquée en 2003. Il fait également part d'un trouble anxio-dépressif présent depuis le début de la maladie de Parkinson avec incidence sur l'attention et la concentration et causant des pertes de mémoire à court et moyen terme. Selon ce praticien, l'évolution de la maladie a été progressive et a connu une aggravation manifeste avec une mauvaise réponse au traitement et apparition d'un syndrome de pied agité qui interfère sur le repos nocturne. Actuellement, la patiente présente une bradycinésie permanente qui limite ses capacités physiques de manière importante. Son état de santé est par ailleurs péjoré par des moments "off" en fin de certaines prises de médicaments. Le Dr D._______ précise que cet état de santé limite l'assurée dans l'exercice de son activité lucrative habituelle.</w:t>
      </w:r>
    </w:p>
    <w:p>
      <w:r>
        <w:rPr>
          <w:b/>
        </w:rPr>
        <w:t>E. 10.2.2</w:t>
      </w:r>
    </w:p>
    <w:p>
      <w:r>
        <w:t>Pour sa part, le Dr E._______, dans un rapport neurologique du 30 octobre 2008 (pce 36), constate chez l'intéressée une bradycinésie dans les membres droits, un tremblement de repos dans le membre supérieur droit, une rigidité avec aspect roue dentée dans les deux membres supérieurs. Lors de la marche, il observe un faible mouvement dans le membre supérieur droit avec dystonie de la main et du pied droit. Ce praticien ne s'exprime pas quant à la capacité de travail de l'assurée.</w:t>
      </w:r>
    </w:p>
    <w:p>
      <w:r>
        <w:rPr>
          <w:b/>
        </w:rPr>
        <w:t>E. 10.2.3</w:t>
      </w:r>
    </w:p>
    <w:p>
      <w:r>
        <w:t>Dans un rapport du 3 novembre 2008 (pce 37), le Dr F._______, spécialiste en chirurgie, fait quant à lui part d'un asthme bronchique, de litiasis urinaire, d'une maladie de Parkinson, de bronchectasie, de syndrome anxio-dépressif, de syndrome cervico-brachial, d'arthrose du genou droit et d'insuffisance veineuse au membre inférieur gauche. Selon ce médecin, l'ensemble de ces affections est chronique et a progressivement entraîné une invalidité de l'assurée.</w:t>
      </w:r>
    </w:p>
    <w:p>
      <w:r>
        <w:rPr>
          <w:b/>
        </w:rPr>
        <w:t>E. 10.2.4</w:t>
      </w:r>
    </w:p>
    <w:p>
      <w:r>
        <w:t>S'agissant du Dr G._______, psychiatre, il relève que sa patiente est traitée depuis plus de 6 ans avec du citalopram pour cause de troube anxio-dépressif. Le tableau clinique a connu une évolution irrégulière et fluctuante en relation probable avec l'aggravation de la maladie de Parkinson. Actuellement, il observe principalement chez l'assurée une hyponomie, une apathie, une altération de l'attention et de la concentration, une déficience de la mémoire et des difficultés pour réaliser les tâches non habituelles. Posant le diagnostic d'épisode dépressif modéré d'intensité modérée secondaire à un processus maladif, il estime que les interactions des maladies neurologiques et psychiatriques ne permettent pas à l'assurée d'effectuer une activité lucrative quelconque (rapport du 18 novembre 2008 [pce 38]).</w:t>
      </w:r>
    </w:p>
    <w:p>
      <w:r>
        <w:rPr>
          <w:b/>
        </w:rPr>
        <w:t>E. 10.2.5</w:t>
      </w:r>
    </w:p>
    <w:p>
      <w:r>
        <w:t>Finalement, dans des rapports détaillés E 213 des 11 janvier 2008 (pce 30 faisant suite à un examen de l'assuré en date du 9 janvier 2008) et 5 janvier 2009 (pce 40), la Dresse H._______ (dont la spécialité n'est pas connue) retient que l'assurée présente des limitations fonctionnelles très importantes, à savoir une bradycinésie, des moments "off" à la fin de certaines doses de médicaments, un léger tremblement au membre supérieur droit et une apathie (pces 30 p. 8 n° 8, 40 p. 8 n° 8). Elle en infère que la recourante présente une incapacité de travail totale dans toute profession, y compris pour des activités devant un écran de vidéo (pces 30 p. 9-10; 40 p. 9-10).</w:t>
      </w:r>
    </w:p>
    <w:p>
      <w:r>
        <w:rPr>
          <w:b/>
        </w:rPr>
        <w:t>E. 10.2.6</w:t>
      </w:r>
    </w:p>
    <w:p>
      <w:r>
        <w:t>Quoiqu'en dise le service médical de l'OAIE, le tableau clinique dressé par la documentation médicale susmentionnée ne permet pas d'exclure, au niveau de la vraisemblance prépondérante valable en droit des assurances sociales, la présence d'une incapacité de travail significative de l'assurée dans une activité de substitution pendant la période déterminante. En particulier, le Dr C._______ n'est pas sans autre convaincant lorsqu'il prétend que la bradycinésie et la raideur musculaire observées chez l'assurée ne sauraient avoir de répercussions sensibles dans l'exercice de travaux requérant des petits mouvements et exercés en position assise, étant précisé que le simple fait que le médecin de l'INSS, dans les rapports E 213 des 11 janvier 2008 et 5 janvier 2009, n'avait pas motivé plus avant son point de vue n'était en l'espèce pas suffisant pour permettre à l'autorité inférieure d'écarter son appréciation sans mesure d'instruction complémentaire. Par ailleurs, les rapports médicaux susmentionnés ont également mis en évidence chez l'assurée des difficultés de concentration et d'attention pour cause de problèmes psychiques, ce qui pourrait également faire obstacle à l'exercice à plein temps d'une activité de pure surveillance, d'autant que, selon le Dr G._______, il existe une interaction entre les problèmes psychiques et neurologiques (cf. supra consid. 10.2.4). Finalement, on ajoutera que l'autorité inférieure devait déterminer si la recourante avait droit à une rente dans la période courant du 8 janvier 2007 au 14 septembre 2009 (cf. supra consid. 3.2). Dans ce contexte, la question de savoir à partir de quel moment l'assurée a présenté une incapacité de travail significative dans son activité habituelle et l'évolution subséquente de cette incapacité (dans le sens d'une aggravation) sont des éléments pertinents que l'administration est tenue de déterminer avec tout le soin requis. Or, il appert que le dossier ne contient pas suffisamment d'informations en la matière. En effet, le service médical de l'OAIE a retenu que l'assurée a présenté une incapacité de travail dans son ancienne profession de confectionneuse d'habits de 20% dès le 1er juin 2003 et de 50% dès le 11 janvier 2008 (pce 45 p. 1 [prise de position du Dr B._______ du 14 mars 2009; cf. toutefois pce 45 p. 2 où ce médecin, dans le même document semble retenir une incapacité de travail de 50% dès le 28 août 2007]). Or, cette évaluation outre le fait qu'elle n'est pas du tout claire quant au moment où l'incapacité de travail dans l'ancienne activité est passée à 50% ne s'appuie sur aucun document médical probant. Par ailleurs, des éléments au dossier incitent à penser qu'une péjoration de l'état de santé s'est déjà produite en 2006-2007 (cf. pces 23, 26, 29). Un complément d'instruction s'avère donc aussi indispensable sur ce point.</w:t>
      </w:r>
    </w:p>
    <w:p>
      <w:r>
        <w:rPr>
          <w:b/>
        </w:rPr>
        <w:t>E. 10.3</w:t>
      </w:r>
    </w:p>
    <w:p>
      <w:r>
        <w:t>Eu égard à tout ce qui précède, il appert que la documentation médicale versée au dossier ne permet pas de se prononcer valablement sur l'état de santé de la recourante et sa capacité de travail pendant l'ensemble de la période déterminante. Il se justifie dès lors, en application de l'art. 61 PA, d'annuler l'acte entrepris et de renvoyer la cause à l'OAIE pour instruction complémentaire comprenant notamment la recherche d'informations auprès des médecins traitants de l'assurée (notamment au niveau psychiatrique et neurologique) et la réalisation d'une expertise médicale pluridisciplinaire avec pour le moins le concours d'un neurologue et d'un psychiatre (éventuellement aussi d'un orthopédiste et d'un pneumologue si cela devait être jugé nécessaire [cf. à ce sujet supra consid. 8 et 10.2.3]). Le cas échéant, et compte tenu de l'évolution de l'état de santé de la recourante dans le temps, l'administration veillera également à procéder à toute autre mesure utile pour déterminer valablement la capacité de travail effective de l'assurée dans la période déterminante. L'ensemble du dossier sera par la suite soumis au service médical de l'OAIE pour examen. Enfin, une nouvelle décision sera prise.</w:t>
      </w:r>
    </w:p>
    <w:p>
      <w:r>
        <w:rPr>
          <w:b/>
        </w:rPr>
        <w:t>E. 11</w:t>
      </w:r>
    </w:p>
    <w:p>
      <w:r>
        <w:t>Vu l'issue de la cause, il n'est pas perçu de frais de procédure (art. 63 PA) et le montant de Fr. 300.- versé à titre d'avance de frais par la recourante lui est restitué.</w:t>
      </w:r>
    </w:p>
    <w:p>
      <w:r>
        <w:rPr>
          <w:b/>
        </w:rPr>
        <w:t>E. 12</w:t>
      </w:r>
    </w:p>
    <w:p>
      <w:r>
        <w:t>La recourante ayant agi en étant représentée par un mandataire professionnel, il lui est alloué une indemnité globale de dépens de Fr. 1'500.-, laquelle est fixée en fonction de l'importance et de la difficulté de la cause ainsi que du travail qu'elle nécessite et du temps que l'avocat pouvait y consacrer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