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C-6696/2007 vom 28. Januar 2010</w:t>
      </w:r>
    </w:p>
    <w:p>
      <w:r>
        <w:t>Bundesverwaltungsgericht, 2010-01-28, FR</w:t>
      </w:r>
    </w:p>
    <w:p>
      <w:r>
        <w:rPr>
          <w:b/>
        </w:rPr>
        <w:t xml:space="preserve">Quelle: </w:t>
      </w:r>
      <w:r>
        <w:t>https://mcp.opencaselaw.ch/entscheid/bvger_C-6696_2007</w:t>
      </w:r>
    </w:p>
    <w:p>
      <w:r>
        <w:t>FR: TAF C-6696/2007 du 28 janvier 2010</w:t>
      </w:r>
    </w:p>
    <w:p>
      <w:r>
        <w:t>IT: TAF C-6696/2007 del 28 gennaio 2010</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125 V 369 consid. 2 et 112 V 372 consid. 2).</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Lors de l'octroi de la rente entière, l'OAI-VD s'est fondé sur un status post luxation postérieure du coude droit opéré le 21 août 1992 limitant la fonctionnalité du membre supérieur droit, ainsi que sur une surcharge psychogène. Des échecs répétés de réinsertion dans l'activité de l'assuré ont également été pris en compte. Sur le plan somatique, le rapport du Dr E._______ du 3 décembre 1996 notait toutefois un status stabilisé, une diminution de la force du membre supérieur droit (de quelque 20-30%) sans trouble sensitif et le recouvrement de l'amplitude nécessaire aux gestes courants. Ce rapport confirmait les conclusions d'un examen du Dr C._______ du 28 octobre 1996. Selon la décision attaquée, ces appréciations auraient dû permettre à l'époque de retenir que l'exercice de diverses activités légères dans différents secteurs de l'industrie restait possible, à la condition de ne pas mettre à forte contribution le coude droit. Du reste, la décision de la SUVA du 2 juillet 1997 avait reconnu une capacité complète dans une activité de substitution. Le prononcé du 19 mars 1998 et la décision du 18 mai 1998 qui s'ensuivit n'étaient dès lors pas justifiées au vu de la documentation médicale versée au dossier. Compte tenu du dossier de l'époque, le Tribunal de céans n'a pas de raison de s'écarter de l'appréciation de l'OAIE et admettre que la décision du 18 mai 1998 était manifestement erronée. On ne trouve nul part dans le dossier un rapport médical attestant de manière convaincante une incapacité de travail dans une activité de substitution. Seul le Dr D._______, dans une note succinte du 19 décembre 1997, mentionne une incapacité de 50% dans toute activité, mais il ajoute que le rendement devrait rapidement s'améliorer de manière considérable. Tous les autres rapports de la SUVA mentionnent toutefois que l'exercice d'une activité de substitution n'était pas entravé par le handicap au coude droit. Il est vrai que sur le plan psychiatrique, l'Office AI vaudois avait retenu une surcharge psychogène. Or, s'il est certain qu'une atteinte somatique liée à des difficultés de réinsertion ainsi qu'un cadre familial ébranlé ne sont pas sans incidence psychologique, il sied de relever que l'assuré n'a pas suivi de traitement psychiatrique ni aucun rapport médical mentionne l'existence de cette pathologie. Aucun examen n'a été effectué à l'époque pour la pathologie psychiatrique, ce qui laisse supposer qu'il n'y avait pas de réel besoin à cet égard. En ces circonstances, la surcharge psychogène n'aurait dû justifier d'incapacité de travail. C'est dès lors manifestement à tort que l'OAIE a retenu en 1998 une capacité de travail résiduelle de 50% alors que celle-ci aurait dû être établie à 100% dans une activité adaptée, comme du reste l'a fait la SUVA.</w:t>
      </w:r>
    </w:p>
    <w:p>
      <w:r>
        <w:rPr>
          <w:b/>
        </w:rPr>
        <w:t>E. 9.2</w:t>
      </w:r>
    </w:p>
    <w:p>
      <w:r>
        <w:t>Il reste à déterminer si depuis l'octroi de la rente entière l'état de santé de l'intéressé s'est modifié de manière à avoir droit à une rente d'invalidité. Il faut relever que l'intéressé, au bénéfice d'une rente entière de l'assurance-invalidité suisse, a exercé, sans en informer l'OAIE, en violation grave de son devoir d'information, une activité indépendante de septembre 2002 à fin 2004 qui a généré un revenu commercial correspondant dans tous les cas à au moins 60% de ce que l'intéressé aurait pu gagner dans son ancienne activité. Il s'avère donc qu'à compter de 2003 l'intéressé ne présentait manifestement plus un status somatique et, éventuellement, psychique lui fondant le droit à une rente entière d'invalidité. L'assuré a cessé son activité indépendante fin 2004 au motif allégué de dorsalgies et d'une sciatique. Il appert du rapport du Dr K._______ du 3 août 2006 une incapacité permanente partielle (IPP) n'excédant pas 30%. Ce spécialiste relève que l'intéressé, bien que n'étant pas en mesure de reprendre son activité de plombier, serait apte à exercer une activité adaptée évitant les mouvements de flexion/extension lombaires itératifs et les ports de charge. S'agissant des maux de dos qui fin 2004 auraient motivé l'intéressé à cesser son activité, le Dr K._______ relève des remaniements arthrosiques du rachis lombaire sans canal lombaire étroit ni conflit discoradiculaire, ni trouble neurologique. Il y a donc lieu de retenir du rapport médical du Dr K._______ une pleine capacité de travail dans des activités adaptées. Certes, le Dr K._______ a fait état d'une incapacité permanente partielle (IPP) globale de 30%, notion de droit français qui fonde le droit à une rente dès un taux de 10%. Cette notion est toutefois étrangère au droit suisse qui établit l'invalidité non en fonction des atteintes à la santé mais en fonction des conséquences de celles-ci sur la capacité de gain résiduelle ensuite d'une atteinte à la santé notamment en prenant en compte la capacité de gain dans des activités de substitution adaptées à l'assuré. Le SMR Rhône, dans son rapport du 5 avril 2007, confirme les conclusions du Dr K._______. Le Dr J._______ retient une incapacité de travail dans l'activité de l'intéressé de 30% dès le 19 mai 1992 et de 70% dès le 3 août 2006 mais de 0% dès le 28 octobre 1996 dans une activité adaptée en position assise ou alternée avec des ports de charge de max. 15Kg épargnant la colonne lombaire sans mouvements répétitifs du bras droit avec efforts. Les rapports des Drs K._______ et J._______ sont univoques quant à la pleine capacité de travail résiduelle dans une activité adaptée. Il y a dès lors lieu de retenir une pleine capacité de travail résiduelle dans une activité adaptée non seulement lors de l'octroi de la rente entière mais aussi jusqu'à la date de la décision attaquée du 3 septembre 2007 (voir ci-dessus consid. 3).</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10.5</w:t>
      </w:r>
    </w:p>
    <w:p>
      <w:r>
        <w:t>En l'espèce il y a lieu de procéder à une évaluation de l'invalidité par une comparaison de revenus entre, d'une part, le salaire mensuel effectif de l'assuré acquis durant l'année 1992, soit Fr. 4'463.54 (1788 pts base 1939), indexé à 2007 (date de la décision dont est recours) à Fr. 5'429.64 (2175 pts) avec, d'autre part, un revenu théorique 2007 pour des activités de substitution simples et légères du secteur privé en général, soit, selon les chiffres de l'Enquête suisse sur la structure des salaires 2006, Fr. 4'732 pour 40 h./sem. et Fr. 4'933.11.- pour 41.7 h./sem. selon le temps de travail usuel de ces branches, indexé à 2007 à Fr. 5'012.04 (+ 1.6%). La réduction des salaires ressortant des statistiques (abattement) relève en premier lieu de l'OAIE, qui dispose pour cela d'un large pouvoir d'appréciation. En l'espèce l'abattement de 20% appliqué par l'autorité inférieure peut être retenu. Il s'ensuit que le revenu théorique pour des activités adaptées de Fr. 5'012.04 abaissé de 20% pour les raisons indiquées par l'OAIE d'âge et de limitations dans les travaux légers, soit Fr. 4'009.63, fonde une perte de gain de 26%, taux insuffisant pour avoir droit à une rente ([5'429.64 - 4'009.62] : 5'429.64 x 100 = 26.15). Il appert de ce qui précède que le recours doit être rejeté et la décision attaquée confirmée.</w:t>
      </w:r>
    </w:p>
    <w:p>
      <w:r>
        <w:rPr>
          <w:b/>
        </w:rPr>
        <w:t>E. 11</w:t>
      </w:r>
    </w:p>
    <w:p>
      <w:r>
        <w:t>Vu l'issue de la cause, les frais de procédure, fixés par le Tribunal de céans à Fr. 400.- sont mis à la charge du recourant débouté (art. 69 al. 2 LAI en relation avec les art. 63 al. 1 et 5 PA. Le montant en question de Fr. 400.- est compensé avec l'avance de frais fournie. Il n'est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