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C-6695/2007 vom 13. August 2009</w:t>
      </w:r>
    </w:p>
    <w:p>
      <w:r>
        <w:t>Bundesverwaltungsgericht, 2009-08-13, FR</w:t>
      </w:r>
    </w:p>
    <w:p>
      <w:r>
        <w:rPr>
          <w:b/>
        </w:rPr>
        <w:t xml:space="preserve">Quelle: </w:t>
      </w:r>
      <w:r>
        <w:t>https://mcp.opencaselaw.ch/entscheid/bvger_C-6695_2007</w:t>
      </w:r>
    </w:p>
    <w:p>
      <w:r>
        <w:t>FR: TAF C-6695/2007 du 13 août 2009</w:t>
      </w:r>
    </w:p>
    <w:p>
      <w:r>
        <w:t>IT: TAF C-6695/2007 del 13 agosto 2009</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1.3.2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1.4.1</w:t>
      </w:r>
    </w:p>
    <w:p>
      <w:r>
        <w:t>Selon l'art. 59 LPGA, quiconque est touché par la décision ou la décision sur opposition et a un intérêt digne de protection à ce qu'elle soit annulée ou modifiée a qualité pour recourir. La disposition suppose le prononcé d'une décision.</w:t>
      </w:r>
    </w:p>
    <w:p>
      <w:r>
        <w:rPr>
          <w:b/>
        </w:rPr>
        <w:t>E. 1.4.2</w:t>
      </w:r>
    </w:p>
    <w:p>
      <w:r>
        <w:t>En vertu de l'art. 31 LTAF, le recours devant le Tribunal administratif fédéral n'est recevable qu'à l'encontre d'une décision au sens de l'art. 5 PA. En vertu de cette disposition, sont considérées comme décisions les mesures prises par les autorités dans des cas d'espèce, fondées sur le droit public fédéral et ayant pour objet de créer, de modifier ou d'annuler des droits ou des obligations (al. 1 let. a), de constater l'existence, l'inexistence ou l'étendue de droits ou d'obligations (al. 1 let. b) ou de rejeter ou de déclarer irrecevables des demandes tendant à créer, modifier, annuler ou constater des droits ou obligations (al. 1 let. c).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(al. 2). Lorsqu'une autorité rejette ou invoque des prétentions à faire valoir par voie d'action, sa déclaration n'est pas considérée comme décision (al. 3).</w:t>
      </w:r>
    </w:p>
    <w:p>
      <w:r>
        <w:rPr>
          <w:b/>
        </w:rPr>
        <w:t>E. 2.1</w:t>
      </w:r>
    </w:p>
    <w:p>
      <w:r>
        <w:t>La recourante, représentée par son fils, - après avoir observé que le défunt avait touché une rente de vieillesse selon l'échelle 32, et ce depuis 1995 - a demandé à la CSC dans l'acte du 19 septembre 2007 de "calculer et payer le rétroactif dû en faveur de notre mère en ce qui concerne la rente de vieillesse et la rente de veuve, tenant compte des mois de cotisation pour la détermination de l'échelle 33, selon l'art. 52c RAVS" (v. acte du 19 septembre 2007). Elle a fait valoir que "de toute évidence, l'erreur commise dans la décision de la rente de vieillesse a des conséquences démesurées pour le rentier, aujourd'hui la veuve, car la différence a porté effet sur près de 12 années de rente" (acte du 19 septembre 2007).</w:t>
      </w:r>
    </w:p>
    <w:p>
      <w:r>
        <w:rPr>
          <w:b/>
        </w:rPr>
        <w:t>E. 2.2</w:t>
      </w:r>
    </w:p>
    <w:p>
      <w:r>
        <w:t>Dans sa réponse au recours, l'autorité de première instance a constaté, d'une part, que la recourante ne remettait aucunement en cause la décision sur opposition qu'elle avait rendue le 22 août 2007 et, d'autre part, que le recours du 19 septembre 2007 portait manifestement sur des décisions (de 1995 et 1999) entrées en force. Elle a en conséquence proposé le rejet du recours.</w:t>
      </w:r>
    </w:p>
    <w:p>
      <w:r>
        <w:rPr>
          <w:b/>
        </w:rPr>
        <w:t>E. 2.3</w:t>
      </w:r>
    </w:p>
    <w:p>
      <w:r>
        <w:t>Dans un écrit du 20 juin 2008, la recourante fait valoir que la différence de rente en sa faveur est importante pour elle, d'où l'intérêt manifest à ce qu'une décision soit rendue dans "cette affaire".</w:t>
      </w:r>
    </w:p>
    <w:p>
      <w:r>
        <w:rPr>
          <w:b/>
        </w:rPr>
        <w:t>E. 3.1</w:t>
      </w:r>
    </w:p>
    <w:p>
      <w:r>
        <w:t>Le Tribunal de céans observe que dans son acte du 19 septembre 2007, la recourante invoque explicitement l'art. 77 RAVS - aux termes duquel celui qui n'a pas touché la rente à laquelle il avait droit, ou qui a reçu une rente inférieure à celle à laquelle il pouvait prétendre, peut réclamer le paiement de son dû à la caisse de compensation (la disposition précise par ailleurs que si une caisse de compensation apprend qu'un ayant droit n'a pas touché sa rente ou n'a touché qu'une rente d'un montant trop faible, elle doit payer le montant arriéré, la prescription prévue à l'art. 46 LAVS étant réservée) - et l'art. 53 al. 2 LPGA, selon lequel l'assureur peut revenir sur les décisions ou les décisions sur oppositions formellement passés en force lorsqu'elle sont manifestement erronées et que leur rectification revêt une importance notable.</w:t>
      </w:r>
    </w:p>
    <w:p>
      <w:r>
        <w:rPr>
          <w:b/>
        </w:rPr>
        <w:t>E. 3.2</w:t>
      </w:r>
    </w:p>
    <w:p>
      <w:r>
        <w:t>Le Tribunal fédéral avait jadis laissé ouverte la question de savoir si l'art. 77 RAVS confère à l'assuré le droit d'exiger la reconsidération d'une décision entrée en force (ATF 119 V 180 consid. 4a). Par la suite il a considéré qu'en vertu de l'art. 77 RAVS l'assuré bénéficie d'un droit, qu'il peut invoquer en justice, à la rectification d'une décision formellement passée en force de chose jugée; toutefois, ce droit ne vise pas le réexamen de la décision administrative dans son ensemble, mais permet simplement à l'assuré d'obtenir la rectification - sur le plan mathématique - d'une décision de rente entrée en force, sans que l'administration soit liée par les conditions spécifiques de la révision ou de la reconsidération (ATF 124 V 324 consid. 2c). Dans un arrêt ultérieur (VSI 2001 p. 87, spéc. p. 91 consid. 2d), le Tribunal fédéral a précisé que le droit de l'assuré, fondé sur l'art. 85 al. 1 du règlement du 17 janvier 1961 sur l'assurance-invalidité (RAI, RS 831.201), à la correction d'une décision, implique celui d'obtenir que la rectification porte effet rétroactif (ex tunc; cf. arrêt du Tribunal fédéral I 692/00 du 29 janvier 2002 consid. 3b).</w:t>
      </w:r>
    </w:p>
    <w:p>
      <w:r>
        <w:rPr>
          <w:b/>
        </w:rPr>
        <w:t>E. 4</w:t>
      </w:r>
    </w:p>
    <w:p>
      <w:r>
        <w:t>Dans le cas d'espèce la recourante n'a pas recouru contre la décision sur opposition du 22 août 2007 lui ayant reconnu, avec effet au 1er juin 2007 (suite au décès de son mari le 20 mai 2007), une rente de veuve, préférable à une rente de vieillesse qu'elle pouvait prétendre fondée sur ses propres cotisations, établie en application de l'échelle 33 et non 32, comme initialement retenue dans la décision du 31 mai 2007. Elle demande par contre que la différence de montants due à feu son mari lui soit attribuée rétroactivement depuis le début du droit à la rente de son mari défunt en 1995, respectivement, également pour elle, depuis le début du droit aux rentes versées depuis 1999.</w:t>
      </w:r>
    </w:p>
    <w:p>
      <w:r>
        <w:rPr>
          <w:b/>
        </w:rPr>
        <w:t>E. 5</w:t>
      </w:r>
    </w:p>
    <w:p>
      <w:r>
        <w:t>L'instance de la recourante du 19 septembre 2007 ne peut qu'être comprise selon sa formulation que comme une demande de rectification au sens de l'art. 77 RAVS, sous réserve de reconsidération au sens de l'art. 53 al. 2 LPGA, portant sur la période entre le 30 juin 1995 et le 30 mai 2007, sur laquelle le Tribunal de céans ne saurait se prononcer à défaut de décision au sens de l'art. 5 PA de la part de la CSC. C'est donc d'abord à la CSC de se prononcer sur la demande du 19 septembre 2007 de la recourante, le cas échéant des héritiers du défunt (cf. les art. 560 et 602 du Code civil suisse (CC; RS 220), et seulement après, en cas de recours contre cette décision, il appartiendra au Tribunal de céans de se prononcer. L'on ne saurait par ailleurs considérer, sur la base des actes de la cause en l'état actuel, que l'autorité inférieure a déjà rendue une décision (négative), au sens de l'art. 5 PA, sur la demande de la recourante du 19 septembre 2007 (ou a laisser entendre, par son comportement, qu'elle ne voulait pas se saisir de la demande ou qu'elle allait prononcer une décision négative), notamment par le fait d'avoir transmis l'instance en question au Tribunal de céans comme objet de sa compétence ou d'avoir observé, dans sa prise de position du 8 novembre 2007, que la recourante ne remettait aucunement en question la décision du 22 août 2007, mais les décisions de 1995 et 1999 entrées en force.</w:t>
      </w:r>
    </w:p>
    <w:p>
      <w:r>
        <w:rPr>
          <w:b/>
        </w:rPr>
        <w:t>E. 6</w:t>
      </w:r>
    </w:p>
    <w:p>
      <w:r>
        <w:t>En l'espèce, l'administration ayant adressé la demande de la recourante au Tribunal administratif fédéral comme objet de sa compétence, considérant cette demande, à tort, comme un recours contre sa décision sur opposition du 22 août 2007, il y a lieu pour le Tribunal de céans, faute de décision au sens de l'art. 5 PA rendue sur la demande en question, de ne pas entrer en matière sur l'instance du 19 septembre 2007 ayant été considérée comme recours contre la décision du 22 août 2007 (un éventuel recours déposé le 19 septembre 2007 contre des décisions rendues en juin 1995 et en avril 1999 étant de toute façon tardif au sens de l'art. 60 LPGA). L'acte de la recourante doit ainsi être retourné à l'administration comme objet de sa compétence.</w:t>
      </w:r>
    </w:p>
    <w:p>
      <w:r>
        <w:rPr>
          <w:b/>
        </w:rPr>
        <w:t>E. 7</w:t>
      </w:r>
    </w:p>
    <w:p>
      <w:r>
        <w:t>Au vu de la nature et de l'issue de la cause, il n'est pas perçu de frais de procédure ni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