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C-6694/2012 vom 19. März 2013</w:t>
      </w:r>
    </w:p>
    <w:p>
      <w:r>
        <w:t>Bundesverwaltungsgericht, 2013-03-19, DE</w:t>
      </w:r>
    </w:p>
    <w:p>
      <w:r>
        <w:rPr>
          <w:b/>
        </w:rPr>
        <w:t xml:space="preserve">Quelle: </w:t>
      </w:r>
      <w:r>
        <w:t>https://mcp.opencaselaw.ch/entscheid/bvger_C-6694_2012</w:t>
      </w:r>
    </w:p>
    <w:p>
      <w:r>
        <w:t>FR: TAF C-6694/2012 du 19 mars 2013</w:t>
      </w:r>
    </w:p>
    <w:p>
      <w:r>
        <w:t>IT: TAF C-6694/2012 del 19 marzo 2013</w:t>
      </w:r>
    </w:p>
    <w:p>
      <w:pPr>
        <w:pStyle w:val="Heading2"/>
      </w:pPr>
      <w:r>
        <w:t>Regeste</w:t>
      </w:r>
    </w:p>
    <w:p>
      <w:r>
        <w:t>Rückvergütung von Beiträgen</w:t>
      </w:r>
    </w:p>
    <w:p>
      <w:pPr>
        <w:pStyle w:val="Heading2"/>
      </w:pPr>
      <w:r>
        <w:t>Erwägungen</w:t>
      </w:r>
    </w:p>
    <w:p>
      <w:r>
        <w:rPr>
          <w:b/>
        </w:rPr>
        <w:t>E. 1</w:t>
      </w:r>
    </w:p>
    <w:p>
      <w:r>
        <w:t>Die Beschwerde wird insoweit gutgeheissen, als die Verfügung vom 17. Oktober 2012 aufgehoben und die Sache an die Vorinstanz zurück­gewiesen wird, damit diese nach weiteren Abklärungen und erfolgter Vornahme der Einkommensteilung im Sinne der Er­wägungen über den Überweisungsanspruch neu verfüge.</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(Gerichtsurkunde; Beilage im Doppel: Vernehmlassung) - die Vorinstanz (Ref-Nr. [...]; Einschreiben) - das Bundesamt für Sozialversicherungen (Einschreiben) Für die Rechtsmittelbelehrung wird auf die nächste Seite verwiesen. Der vorsitzende Richter: Der Gerichtsschreiber: Beat Weber Daniel Golta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