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C-6693/2011 vom 1. März 2013</w:t>
      </w:r>
    </w:p>
    <w:p>
      <w:r>
        <w:t>Bundesverwaltungsgericht, 2013-03-01, DE</w:t>
      </w:r>
    </w:p>
    <w:p>
      <w:r>
        <w:rPr>
          <w:b/>
        </w:rPr>
        <w:t xml:space="preserve">Quelle: </w:t>
      </w:r>
      <w:r>
        <w:t>https://mcp.opencaselaw.ch/entscheid/bvger_C-6693_2011</w:t>
      </w:r>
    </w:p>
    <w:p>
      <w:r>
        <w:t>FR: TAF C-6693/2011 du 1 mars 2013</w:t>
      </w:r>
    </w:p>
    <w:p>
      <w:r>
        <w:t>IT: TAF C-6693/2011 del 1 marzo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Das BFM verfügt Einreiseverbote gegenüber weggewiesenen Ausländerinnen und Ausländern, wenn die Wegweisung nach Art. 64d Abs. 2 Bst. a - c des Bundesgesetzes vom 16. Dezember 2005 über die Ausländerinnen und Ausländer (AuG, SR 142.20)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Wird gegen eine Person, die nicht das Bürgerrecht eines Mitglied­staates der Europäischen Union besitzt, ein Ein­reiseverbot verhängt, wird diese gestützt auf Art. 94 Abs. 1 und Art. 96 des Schengener Durchführungsübereinkommen (SDÜ, Abl. L 239 vom 22. September 2000, S. 19-62) und Art. 16 Abs. 2 und 4 des Bundesgesetzes vom 13. Juni 2008 über die polizeilichen Informationssysteme des Bundes (BPI, SR 361) in der Regel im Schengener Informationssystem (SIS, vgl. Art. 92 ff. SDÜ) zur Einreiseverweigerung ausgeschrieben. Diese Ausschreibung bewirkt grundsätzlich, dass der Person die Einreise in das Hoheitsgebiet der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3.3</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des Ausländerrechts fallen unter diese Begriffsbestimmung und können als solche ein Einreiseverbot nach sich ziehen (vgl. Botschaft, a.a.O., S.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820/2009 vom 9. März 2011 E. 5 mit Hinweisen).</w:t>
      </w:r>
    </w:p>
    <w:p>
      <w:r>
        <w:rPr>
          <w:b/>
        </w:rPr>
        <w:t>E. 4.1</w:t>
      </w:r>
    </w:p>
    <w:p>
      <w:r>
        <w:t>Die Vorinstanz stützt das Einreiseverbot auf Art. 67 Abs. 2 Bst. a AuG. Der Beschwerdeführer sei in der Schweiz erwerbstätig gewesen, ohne im Besitze der erforderlichen Bewilligung zu sein, und habe so gegen die öffentliche Sicherheit und Ordnung verstossen. Der Beschwerdeführer beruft sich darauf, lediglich gefälligkeitshalber seinem Gastgeber behilflich gewesen zu sein. Die Akten zeigen indes ein anderes Bild. Vorab ist festzuhalten, dass ein mit Erwerbstätigkeit verbundener Aufenthalt in der Schweiz grundsätzlich und ungeachtet seiner Dauer bewilligungspflichtig ist. Als Erwerbstätigkeit gilt jede üblicherweise gegen Entgelt ausgeübte unselbständige oder selbständige Tätigkeit, selbst wenn sie unentgeltlich erfolgt (Art. 11 Abs. 1 und 2 AuG). Ohne Belang ist, in welchem zeitlichen Ausmass diese Tätigkeit ausgeübt wird (vgl. Art. 1a Abs. 1 VZAE). Vorliegend geht aus den Akten klar hervor, dass der Beschwerdeführer nicht ausschliesslich als Tourist und zwecks Kaufs einer Kücheneinrichtung in der Schweiz war, sondern im Laufe seiner Anwesenheit eine nicht bewilligte Erwerbstätigkeit ausübte. So sagte der Beschwerdeführer gegenüber der Polizei aus, dass sein Gastgeber ihn gebeten habe, für einen Monat nach Y.______ zu kommen. Er habe für ihn am 4. November 2011 den ganzen Tag Waren herumgeführt und ihm am Folgetag bei der Auskleidung des Eingangs eines Restaurants geholfen, dies gegen Kost und Logis (vgl. AG act. 12 ff.). T.______ behauptete zwar gegenüber der Polizei, der Beschwerdeführer habe nicht für ihn gearbeitet, sagte aber auch Folgendes: "Ich sagte zu A.______, ob er mir den Lfw mit Anhänger zusammen mit einem Angestellten von mir, nach Z.______ überführen könnte. Ich hatte an diesem Tag eine Sitzung in L.______. Zur Zeit darf ich sowieso kein Fahrzeug führen. Ich habe Führerausweisentzug (vgl. Protokoll der Einvernahme vom 9. November 2011, Antwort auf Frage 6, Beilage 4 zur Beschwerdeschrift). Gemäss Polizeirapport erklärte sodann B.______, der am 4. November 2011 mit dem Beschwerdeführer unterwegs gewesen war, dass T.______ diesen am 31. Oktober 2011 als "neuen Chauffeur vorgestellt habe. An diesem Tag sei er mit dem Beschwerdeführer das erste Mal im Firmenfahrzeug unterwegs gewesen. Sie hätten Waren ein- und ausgeladen. An den zwei folgenden Tagen sei der Beschwerdeführer mit T.______ unterwegs gewesen (vgl. AG act. 34). Aus den Akten geht demnach klar hervor, dass der Beschwerdeführer für T._______ gearbeitet und damit eine nicht bewilligte Erwerbstätigkeit ausgeübt hat (vgl. Art. 11 AuG i.V.m. Art. 115 Abs. 1 Bst. c AuG). Nicht entscheidend ist, ob für diese Arbeit tatsächlich neben Kost und Logis kein Entgelt ausgerichtet wurde (vgl. Art. 11 Abs. 2 AuG sowie Urteil des Bundesverwaltungsgerichts C 4921/2010 vom 11. August 2011 E. 8.3).</w:t>
      </w:r>
    </w:p>
    <w:p>
      <w:r>
        <w:rPr>
          <w:b/>
        </w:rPr>
        <w:t>E. 4.2</w:t>
      </w:r>
    </w:p>
    <w:p>
      <w:r>
        <w:t>Der Beschwerdeführer hat ferner gegen die öffentliche Sicherheit und Ordnung verstossen, indem er einen Lieferwagen mit Transportanhänger führte, ohne den hierfür erforderlichen Führerausweis der Kategorie E zu besitzen (vgl. Art. 10 Abs. 2 des Strassenverkehrsgesetzes vom 19. Dezember 1958 [SVG, SR 741.01] i.V.m. Art. 95 Abs. 1 Bst. a SVG und Art. 3 f. der Verkehrszulassungsverordnung vom 27. Oktober 1976 [VZV; SR 741.51] sowie AG act. 14 u. 32 ff.). Der Beschwerdeführer anerkannte diesen Tatbestand anlässlich der polizeilichen Einvernahme (vgl. AG act. 12). Auf diesen Verstoss gegen das Strassenverkehrsgesetz hätte die Vorinstanz die Fernhaltemassnahme zusätzlich abstützen können (vgl. Art. 67 Abs. 2 Bst. a AuG i.V.m. Art. 80 Abs. 1 Bst. a VZAE).</w:t>
      </w:r>
    </w:p>
    <w:p>
      <w:r>
        <w:rPr>
          <w:b/>
        </w:rPr>
        <w:t>E. 4.3</w:t>
      </w:r>
    </w:p>
    <w:p>
      <w:r>
        <w:t>Nicht von Belang ist für das vorliegende Verfahren, dass das Verhalten des Beschwerdeführers trotz der polizeilichen Anzeige offenbar bis anhin keine strafrechtliche Verurteilung zur Folge hatte (jedenfalls ist den Akten diesbezüglich nichts zu entnehmen). Das Einreiseverbot knüpft grundsätzlich nicht an die Erfüllung einer Strafnorm, sondern an das Vorliegen einer Polizeigefahr an. Ob eine solche besteht und wie sie zu gewichten ist, hat die Behörde in eigener Kompetenz unter Zugrundelegung spezifisch ausländerrechtlicher Kriterien zu beurteilen. Die Behörde ist deshalb in der Regel auch nicht gehalten, den rechtskräftigen Abschluss eines Strafverfahrens abzuwarten (vgl. Urteil des Bundesverwaltungsgerichts C-7510/2010 vom 20. November 2012 E. 5.2). Im Übrigen ist für die Verhängung eines Einreiseverbots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Person obliegt es, sich über bestehende Rechte und Pflichten im Zusammenhang mit ausländerrechtlichen Vorschriften ins Bild zu setzen und sich nötigenfalls bei den zuständigen Stellen zu informieren (vgl. Urteil des Bundesverwaltungsgerichts C-4463/2008 vom 29. April 2009 E. 5.4 mit Hinweisen).</w:t>
      </w:r>
    </w:p>
    <w:p>
      <w:r>
        <w:rPr>
          <w:b/>
        </w:rPr>
        <w:t>E. 4.4</w:t>
      </w:r>
    </w:p>
    <w:p>
      <w:r>
        <w:t>Der Beschwerdeführer hat nach dem Gesagten durch die Ausübung einer Erwerbstätigkeit ohne Besitz der erforderlichen Bewilligung und den dargelegten Verstoss gegen das Strassenverkehrsgesetz unter dem Gesichtspunkt von Art. 67 Abs. 2 Bst. a AuG hinreichenden Anlass für die Verhängung eines Einreiseverbots gegeben. Die Ausschreibung zur Einreiseverweigerung im SIS erfolgte im Einklang mit Art. 94 Abs. 1 und Art. 96 SDÜ. Der Vollständigkeit halber ist festzuhalten, dass die Vorinstanz zu Recht nicht auf Art. 67 Abs. 1 AuG abstellte, zumal die Wegweisung nicht sofort vollstreckt wurde und der Beschwerdeführer innerhalb der angesetzten fünftägigen Frist ausreiste (vgl. AG act. 26 ff.).</w:t>
      </w:r>
    </w:p>
    <w:p>
      <w:r>
        <w:rPr>
          <w:b/>
        </w:rPr>
        <w:t>E. 5.1</w:t>
      </w:r>
    </w:p>
    <w:p>
      <w:r>
        <w:t>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5.2</w:t>
      </w:r>
    </w:p>
    <w:p>
      <w:r>
        <w:t>Der Beschwerdeführer ging in der Schweiz ohne Bewilligung einer Erwerbstätigkeit nach und wurde deshalb weggewiesen. Zudem hat er gegen das Strassenverkehrsgesetz verstossen. Aus dem manifestierten Verhalten des Beschwerdeführers wird auf eine Gefährdung der öffentlichen Sicherheit und Ordnung geschlossen. Das Einreiseverbot hat in erster Linie präventiven Charakter, um einer weiteren illegalen Erwerbstätigkeit des Beschwerdeführers entgegenzuwirken. Die Vorinstanz war demnach berechtigt, zur Abwendung künftiger Störungen ein Einreiseverbot zu verhängen.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(vgl. dazu Urteil des Bundesgerichts 2C_948/2011 vom 11. Juli 2012 E. 3.4.2 in fine). Überdies liegt eine spezialpräventive Zielsetzung der Massnahme darin, dass sie den Betroffenen ermahnt, bei einer allfälligen künftigen Wiedereinreise in die Schweiz nach Ablauf der Dauer des Einreiseverbots die für ihn geltenden Regeln einzuhalten (vgl. hierzu Urteil des Bundesverwaltungsgerichts C 2771/2010 vom 3. Februar 2012 E. 6.1). Es besteht somit ein gewichtiges öffentliches Interesse an der Fernhaltung des Beschwerdeführers.</w:t>
      </w:r>
    </w:p>
    <w:p>
      <w:r>
        <w:rPr>
          <w:b/>
        </w:rPr>
        <w:t>E. 5.3</w:t>
      </w:r>
    </w:p>
    <w:p>
      <w:r>
        <w:t>Der Beschwerdeführer bringt als persönliches Interesse vor, er wolle auch in Zukunft in der Schweiz Geschäfte tätigen. Das Einreiseverbot erweise sich für ihn als grosse Belastung. Diese Vorbringen rechtfertigen es indes nicht, von einem Einreiseverbot abzusehen. Der Beschwerdeführer hat die mit dem Einreiseverbot einhergehenden Einschränkungen hinzunehmen, zumal das dargelegte öffentliche Interesse erheblich ins Gewicht fällt. Sodann hat bereits die Vorinstanz im Rahmen ihrer Vernehmlassung darauf hingewiesen, dass das Einreiseverbot auf begründetes Gesuch hin aus wichtigen Gründen befristet suspendiert werden kann (vgl. Art. 67 Abs. 5 AuG). Eine wertende Gewichtung der sich entgegenstehenden Interessen führt zum Ergebnis, dass das auf zwei Jahre befristete Einreiseverbot sowohl vom Grundsatz her als auch in Bezug auf seine Dauer eine verhältnismässige und angemessene Massnahme zum Schutz der öffentlichen Sicherheit und Ordnung darstellt.</w:t>
      </w:r>
    </w:p>
    <w:p>
      <w:r>
        <w:rPr>
          <w:b/>
        </w:rPr>
        <w:t>E. 6</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7</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