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C-6692/2009 vom 29. August 2011</w:t>
      </w:r>
    </w:p>
    <w:p>
      <w:r>
        <w:t>Bundesverwaltungsgericht, 2011-08-29, FR</w:t>
      </w:r>
    </w:p>
    <w:p>
      <w:r>
        <w:rPr>
          <w:b/>
        </w:rPr>
        <w:t xml:space="preserve">Quelle: </w:t>
      </w:r>
      <w:r>
        <w:t>https://mcp.opencaselaw.ch/entscheid/bvger_C-6692_2009</w:t>
      </w:r>
    </w:p>
    <w:p>
      <w:r>
        <w:t>FR: TAF C-6692/2009 du 29 août 2011</w:t>
      </w:r>
    </w:p>
    <w:p>
      <w:r>
        <w:t>IT: TAF C-6692/2009 del 29 agosto 2011</w:t>
      </w:r>
    </w:p>
    <w:p>
      <w:pPr>
        <w:pStyle w:val="Heading2"/>
      </w:pPr>
      <w:r>
        <w:t>Regeste</w:t>
      </w:r>
    </w:p>
    <w:p>
      <w:r>
        <w:t>Assurance-invalidité (AI)</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l'avance de frais étant acquittée, le recours est donc re-cevable quant à sa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de l'Office fédéral des assurances sociales [OFAS]).</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3.5</w:t>
      </w:r>
    </w:p>
    <w:p>
      <w:r>
        <w:t>Le droit applicable au fond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arrêt du Tribunal fédéral I 274/05 du 21 mars 2006 consid. 1.1). La décision entreprise ayant été rendue le 8 septembre 2009, le droit éventuel à des prestations de l'assurance-invalidité doit être examiné en fonction des dispositions de la LAI et de la LPGA, telles que modifiées par la novelle du 6 octobre 2006 (5e révision), entrées en vigueur le 1er janvier 2008 (RO 2007 5129). Cela étant, la 5e révision n'a pas modifié la notion d'invalidité, ni la manière d'évaluer le taux d'invalidité.</w:t>
      </w:r>
    </w:p>
    <w:p>
      <w:r>
        <w:rPr>
          <w:b/>
        </w:rPr>
        <w:t>E. 4.1</w:t>
      </w:r>
    </w:p>
    <w:p>
      <w:r>
        <w:t>Aux termes de l'art. 87 al. 3 et 4 RAI, lorsque l'administration examine une nouvelle demande de l'assuré après un premier refus de prestations, elle n'entrera en matière que s'il est établi de façon plausible que l'invalidité s'est modifiée de manière à influencer ses droits. A défaut d'apporter cette preuve préalable au nouvel examen du droit aux prestations, l'affaire est liquidée sans autre examen par une décision de non-entrée en matière sujette à recours devant le tribunal compétent. On entend ainsi éviter que l'administration ne doive s'occuper continuellement des mêmes cas, soit des cas où la situation n'a pas subi de modification (ATF 125 V 410 consid. 2b, VSI 2000 242).</w:t>
      </w:r>
    </w:p>
    <w:p>
      <w:r>
        <w:rPr>
          <w:b/>
        </w:rPr>
        <w:t>E. 4.2</w:t>
      </w:r>
    </w:p>
    <w:p>
      <w:r>
        <w:t>Dans l'examen des allégations de l'assuré quant à la péjoration de son état de santé, l'administration peut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prestations avec les circonstances existantes au moment de la décision de refus d'entrer en matière sur la nouvelle demande (Arrêt du Tribunal fédéral I 187/05 du 11 mai 2006, voir ég. ATF 130 V 343 consid. 3.5).</w:t>
      </w:r>
    </w:p>
    <w:p>
      <w:r>
        <w:rPr>
          <w:b/>
        </w:rPr>
        <w:t>E. 4.3</w:t>
      </w:r>
    </w:p>
    <w:p>
      <w:r>
        <w:t>Dans le cas contraire, lorsque l'administration entre en matière sur la nouvelle demande et examine l'affaire au fond; elle vérifie ainsi que la modification du degré d'invalidité rendue, à son sens, plausible par l'assuré est réellement intervenue. Elle doit par conséquent procéder de la même manière qu'en cas de révision au sens de l'art. 17 LPGA.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(ATF 133 V 108 consid. 5, en par-ticulier consid. 5.4, ATF 130 V 71 consid. 3.2.3, ATF 130 V 343 consid. 3.5). En cas de recours, le même devoir de contrôle quant au fond in-combe au juge. En effet,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arrêt du Tribunal fédéral I 597/05 du 8 janvier 2007)</w:t>
      </w:r>
    </w:p>
    <w:p>
      <w:r>
        <w:rPr>
          <w:b/>
        </w:rPr>
        <w:t>E. 5</w:t>
      </w:r>
    </w:p>
    <w:p>
      <w:r>
        <w:t>Dans le cas d'espèce, saisie d'une nouvelle demande moins d'un an après l'entrée en force de sa décision de rejet du 17 décembre 2007, l'autorité inférieure ne se réfère singulièrement en aucune manière à l'art. 87 al. 4 RAI. Il faut toutefois considérer qu'elle est entrée en matière sur la nouvelle demande du recourant et qu'en conséquence le Tribunal de céans doit examiner si l'invalidité du recourant a subi une modification, et ce, en comparant les faits tels qu'ils se présentaient à l'époque de la décision du 17 décembre 2007, dernière décision entrée en force ayant examiné matériellement le droit à la rente, et ceux qui ont existé jusqu'au 8 septembre 2009, date de la décision litigieuse.</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L'al. 2 a été introduit lors de la 5e révision. Cette disposition précise que seules les conséquences de l'atteinte à la santé sont prises en compte pour juger de la présence d'une incapacité de gain et qu'il n'y a incapacité de gain que si celle-ci n'est pas objectivement surmontable.</w:t>
      </w:r>
    </w:p>
    <w:p>
      <w:r>
        <w:rPr>
          <w:b/>
        </w:rPr>
        <w:t>E. 6.2</w:t>
      </w:r>
    </w:p>
    <w:p>
      <w:r>
        <w:t>L'assuré a droit à un quart de rente s'il est invalide à 40% au moins, à une demi-rente s'il est invalide à 50%, à trois-quarts de rente s'il est invalide à 60% et à une rente entière s'il est invalide à 70% au moins (art. 28 al. 1 LAI, al. 2 depuis le 1er janvier 2008).</w:t>
      </w:r>
    </w:p>
    <w:p>
      <w:r>
        <w:rPr>
          <w:b/>
        </w:rPr>
        <w:t>E. 7.1</w:t>
      </w:r>
    </w:p>
    <w:p>
      <w:r>
        <w:t>Le taux d'invalidité d'une personne exerçant une activité lucrative est fixé d'après la comparaison des revenus prévue à l'art. 16 LPGA, appli-cable par le renvoi de l'art. 28a al. 1 LAI, à savoir selon des considérations économiques.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(méthode générale). Le Tribunal fédéral a précisé qu'il n'y pas lieu de poser des exigences excessives quant aux possibilités des assurés de trouver un emploi correspondant aux activités de substitution proposées. Il suffit en principe qu'une telle place de travail n'apparaisse pas de toute évidence comme exclue (arrêts du Tribunal fédéral 9C_446/2008 du 18 septembre 2008 et 9C_236/2008 du 4 août 2008).</w:t>
      </w:r>
    </w:p>
    <w:p>
      <w:r>
        <w:rPr>
          <w:b/>
        </w:rPr>
        <w:t>E. 7.2</w:t>
      </w:r>
    </w:p>
    <w:p>
      <w:r>
        <w:t>La notion d'invalidité, dont il est question à l'art. 8 LPGA et à l'art. 4 LAI, est de nature juridique/économique et non pas médicale (ATF 116 V 246 consid. 1b). Ainsi, puisque l'objet assuré n'est pas l'atteinte à la santé physique, mais les conséquences économiques de celles-ci - à savoir une incapacité de gain de longue durée - le taux d'invalidité ne se confond pas nécessairement avec le taux d'incapacité fonctionnelle déterminé par le médecin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RCC 1991 p. 329 consid. 1c).</w:t>
      </w:r>
    </w:p>
    <w:p>
      <w:r>
        <w:rPr>
          <w:b/>
        </w:rPr>
        <w:t>E. 8</w:t>
      </w:r>
    </w:p>
    <w:p>
      <w:r>
        <w:t>.</w:t>
      </w:r>
    </w:p>
    <w:p>
      <w:r>
        <w:rPr>
          <w:b/>
        </w:rPr>
        <w:t>E. 8.1</w:t>
      </w:r>
    </w:p>
    <w:p>
      <w:r>
        <w:t>L'autorité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particulier, une expertise doit être mise en oeuvre lorsqu'il apparaît nécessaire de clarifier les aspects médicaux du cas (ATF 117 V 282 consid. 4a).</w:t>
      </w:r>
    </w:p>
    <w:p>
      <w:r>
        <w:rPr>
          <w:b/>
        </w:rPr>
        <w:t>E. 8.2</w:t>
      </w:r>
    </w:p>
    <w:p>
      <w:r>
        <w:t>Toutefois,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19 PA en relation avec art. 40 de la loi fédérale de procédure civile fédérale du 4 décembre 1947 PCF, [RS 273]; ATF 117 V 261, ATF 116 V 23, ATF 115 V 133 consid. 8a et les références citées).</w:t>
      </w:r>
    </w:p>
    <w:p>
      <w:r>
        <w:rPr>
          <w:b/>
        </w:rPr>
        <w:t>E. 8.3</w:t>
      </w:r>
    </w:p>
    <w:p>
      <w:r>
        <w:t>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(Sozialversicherungsrecht [SVR] 2001 IV n° 10 p. 28).</w:t>
      </w:r>
    </w:p>
    <w:p>
      <w:r>
        <w:rPr>
          <w:b/>
        </w:rPr>
        <w:t>E. 9.1</w:t>
      </w:r>
    </w:p>
    <w:p>
      <w:r>
        <w:t>La première demande déposée en 2006 et rejetée par décision du 17 décembre 2007 reposait sur un diagnostic de status après infarctus du myocarde avec PTCA et Stent. Selon le médecin de l'OAIE, dans son activité de maçon, le recourant subissait une incapacité de 60% mais une activité de substitution adaptée à ses limitations fonctionnelles était exigible à 100%. Cet avis était partagé par le Dr G._______ qui avait examiné le recourant afin d'établir l'expertise E 213. Ce médecin estimait l'incapacité dans la profession de maçon à 75% mais reconnaissait une capacité pleine et entière dans d'autres activités. La sécurité sociale espagnole quant à elle octroie une rente au recourant depuis juin 2001 au motif d'une incapacité permanente totale dans la profession habituelle. La décision de rejet du 17 décembre 2007 est entrée en force sans avoir été entreprise par l'intéressé. L'année suivante, en mars et en août 2008, le recourant a consulté d'urgence pour des douleurs thoraciques qui se sont répétées en avril 2009. La première fois, un syndrome coronarien aigu avec élévation du segment ST de type infarctus du myocarde sans onde Q fut détecté et il fut procédé à l'implantation de deux stents conventionnels. En août 2008, il consulte parce qu'il souffre de douleurs thoraciques au repos, lesquelles cèdent spontanément au bout de 10 minutes. Le médecin ne constate ni dyspnée ni palpitations et le recourant sort après que le test d'effort se révèle normal et son traitement médicamenteux reste inchangé. En avril 2009, il ressent de nouvelles douleurs rétrosternales avec irradiation dans le dos, d'une intensité légère de 30 minutes. Après cathétérisme cardiaque effectué à l'hôpital, le patient ne ressent plus de douleurs. Ainsi en l'absence de signes d'un trouble de l'irrigation du coeur et avec une bonne performance cardiaque, le Dr F._______ de l'OAIE, n'a pu que confirmer les limitations fonctionnelles déjà retenues en 2007 et se prononcer en faveur d'une activité de substitution adaptée à plein temps, l'exercice de la profession de maçon n'étant plus qu'exigible à 40%. Au demeurant la Dresse E._______ qui a effectué la nouvelle expertise E 213 du 15 janvier 2009 est du même avis sauf qu'elle semble exclure totalement l'activité de maçon. S'agissant des activités exigibles, elle mentionne gardien et surveillant de musée. Le Dr B._______ précisait lors de la première décision de refus que des efforts moyens étaient non seulement exigibles chez un patient cardiaque mais même conseillés. Ce que confirment certains auteurs de la littérature médicale qui relèvent que les facteurs qui conditionnent les difficultés de reprise d'un emploi après un infarctus sont rarement médicaux, mais d'ordre socioprofessionnel (Sellier P./Varailac P./ Iliou M. C./ Corona P./ Prunier L./ Audouin A., La reprise de travail après infarctus du myocarde. Quand redouter une invalidité ultérieure et comment la prévenir ?, in: Annales de psychiatrie, 1995, vol. 10, n° 4, p. 208 à 214), lesquels sont très clairement en droit suisse des facteurs étrangers à l'invalidité et impropres à influencer l'octroi d'une rente (cf. RCC 1991, p. 239 consid. 3c, arrêt du TF 175/04 du 28 janvier 2005 consid. 3; Pratique VSI 1999 p. 247 consid. 1, 1998 p. 296 consid. 3b).</w:t>
      </w:r>
    </w:p>
    <w:p>
      <w:r>
        <w:rPr>
          <w:b/>
        </w:rPr>
        <w:t>E. 9.2</w:t>
      </w:r>
    </w:p>
    <w:p>
      <w:r>
        <w:t>Le recourant ne produit aucun élément qui permettrait d'avoir des doutes sur les conclusions des médecins de l'OAIE et de l'expertise E 213. Certes, la Dresse E._______ n'indique pas que l'exercice de maçon resterait exigible partiellement. Toutefois en l'espèce, cela est sans importance du moment qu'en vertu du principe général valable en assurances sociales, l'assuré a l'obligation de diminuer son dommage et doit entreprendre de son propre chef tout ce qu'on peut raisonnablement attendre de lui afin d'atténuer autant que possible les conséquences de son invalidité (ATF 130 V 97 consid. 3.2 avec les références). Autrement dit si une autre activité peut être exercée à plein temps, l'autorité est en droit de l'exiger et de fonder ses calculs sur les revenus que pourrait générer cette activité.</w:t>
      </w:r>
    </w:p>
    <w:p>
      <w:r>
        <w:rPr>
          <w:b/>
        </w:rPr>
        <w:t>E. 9.3</w:t>
      </w:r>
    </w:p>
    <w:p>
      <w:r>
        <w:t>En définitive, la Cour est d'avis avec l'autorité inférieure, que le recourant peut exercer malgré ses atteintes à la santé une activité de substitution à plein temps qui tient compte de ses limitations. Ainsi l'incapacité de travail ne s'est pas modifiée depuis le rejet de la première demande, si bien qu'il n'y a pas lieu de procéder à l'examen du taux d'invalidité en effectuant une évaluation économique.</w:t>
      </w:r>
    </w:p>
    <w:p>
      <w:r>
        <w:rPr>
          <w:b/>
        </w:rPr>
        <w:t>E. 9.4</w:t>
      </w:r>
    </w:p>
    <w:p>
      <w:r>
        <w:t>Compte tenu de ce qui précède, le recours doit être rejeté et la décision du 8 septembre 2009 confirmée.</w:t>
      </w:r>
    </w:p>
    <w:p>
      <w:r>
        <w:rPr>
          <w:b/>
        </w:rPr>
        <w:t>E. 10.1</w:t>
      </w:r>
    </w:p>
    <w:p>
      <w:r>
        <w:t>Le recourant, qui succombe, doit donc s'acquitter des frais de justice fixés, compte tenu de la charge liée à la procédure, à Fr. 400.-- (art. 63 al. 1 règlement du 21 février 2008 concernant les frais, dépens et indemnités fixés par le Tribunal administratif fédéral [FITAF, RS 173.320.2] et 69 al. 2 LAI). Ils sont compensés par l'avance de frais déjà versée de Fr. 400.--.</w:t>
      </w:r>
    </w:p>
    <w:p>
      <w:r>
        <w:rPr>
          <w:b/>
        </w:rPr>
        <w:t>E. 10.2</w:t>
      </w:r>
    </w:p>
    <w:p>
      <w:r>
        <w:t>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