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C-6673/2008 vom 25. November 2009</w:t>
      </w:r>
    </w:p>
    <w:p>
      <w:r>
        <w:t>Bundesverwaltungsgericht, 2009-11-25, FR</w:t>
      </w:r>
    </w:p>
    <w:p>
      <w:r>
        <w:rPr>
          <w:b/>
        </w:rPr>
        <w:t xml:space="preserve">Quelle: </w:t>
      </w:r>
      <w:r>
        <w:t>https://mcp.opencaselaw.ch/entscheid/bvger_C-6673_2008</w:t>
      </w:r>
    </w:p>
    <w:p>
      <w:r>
        <w:t>FR: TAF C-6673/2008 du 25 novembre 2009</w:t>
      </w:r>
    </w:p>
    <w:p>
      <w:r>
        <w:t>IT: TAF C-6673/2008 del 25 novembre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A.________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169 consid. 2.3.1, 128 II précité ibid.,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et jurisprudence citée; voir également l'arrêt du Tribunal fédéral 1C_98/2008 du 16 mai 2008 consid. 3.3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l'arrêt du Tribunal fédéral 1C_129/2009 du 26 mai 2009 consid. 3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voir également arrêts du Tribunal fédéral 1C_509/2008 du 16 décembre 2008 consid. 2.1.1, 1C_201/2008 précité et 1C_379/2007 du 7 décembre 2007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précité 1C_509/2008 consid. 2.1.2).</w:t>
      </w:r>
    </w:p>
    <w:p>
      <w:r>
        <w:rPr>
          <w:b/>
        </w:rPr>
        <w:t>E. 4.2.2</w:t>
      </w:r>
    </w:p>
    <w:p>
      <w:r>
        <w:t>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et références citées).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7 octobre 2003 à A.________ a été annulée par l'autorité inférieure en date du 25 septembre 2008, soit avant l'échéance du délai péremptoire de cinq ans prévu par la disposition précitée (cf. sur cette question l'arrêt du Tribunal fédéral 1C_325/2008 du 30 septembre 2008 consid. 3 et jurisprudence citée), avec l'assentiment de l'autorité du canton d'origine (Lucerne).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Ainsi, il est à relever que le recourant a contracté mariage avec B.________, le 14 janvier 2000, alors qu'il n'avait pas de statut stable sur le plan administratif, puisqu'il se trouvait sous le coup d'une décision de refus d'asile et de renvoi de Suisse prononcée par l'autorité fédérale compétente le 24 novembre 1997 - décision qui est entrée en force suite au prononcé de la CRA du 29 avril 1998 - et que l'admission provisoire collective dont il bénéficiait avait fait l'objet d'une levée par décision du Conseil fédéral (cf. consid. A). Suite à ce mariage, A.________ a été formellement mis au bénéfice d'une autorisation de séjour annuelle dans le canton de Fribourg le 20 avril 2000 afin de pouvoir vivre auprès de son épouse de nationalité suisse. Le 3 février 2003, il a déposé une demande de naturalisation facilitée. Le 2 septembre 2003, le prénommé et son épouse ont signé la déclaration relative à la stabilité de leur mariage. Le 7 octobre 2003, le recourant s'est vu octroyer la naturalisation facilitée. Le 16 décembre 2004, selon la version du recourant, ou courant octobre 2004, selon la version de B.________, soit à peu près une année après la naturalisation, les époux ont pris un domicile séparé et ils ont introduit le 29 mai 2007 auprès du Tribunal du district du Lac une requête commune de divorce, accompagnée d'une convention sur les effets accessoires du divorce. Par jugement du 11 octobre 2007, le juge dudit Tribunal a prononcé le divorce des intéressés. Enfin, le 23 janvier 2009, le recourant a contracté mariage devant l'état civil de Neuchâtel avec une ressortissante serbe, titulaire d'une autorisation d'établissement dans le canton précité et avec laquelle il faisait ménage commun depuis le mois d'avril 2007 selon le registre de contrôle des habitants de la ville de Neuchâtel.</w:t>
      </w:r>
    </w:p>
    <w:p>
      <w:r>
        <w:rPr>
          <w:b/>
        </w:rPr>
        <w:t>E. 6.2</w:t>
      </w:r>
    </w:p>
    <w:p>
      <w:r>
        <w:t>Le Tribunal estime dès lors que l'enchaînement rapide des faits, tel qu'il a été relaté, couplé au court laps de temps qui s'est écoulé entre l'octroi de la naturalisation facilitée (7 octobre 2003) et la séparation du couple (fin 2004) est de nature à fonder la présomption que cette naturalisation a été obtenue de manière frauduleuse et que le couple n'envisageait déjà plus une vie future partagée lors de la signature de la déclaration de vie commune.</w:t>
      </w:r>
    </w:p>
    <w:p>
      <w:r>
        <w:rPr>
          <w:b/>
        </w:rPr>
        <w:t>E. 6.3</w:t>
      </w:r>
    </w:p>
    <w:p>
      <w:r>
        <w:t>Cette conviction est renforcée par plusieurs autres éléments.</w:t>
      </w:r>
    </w:p>
    <w:p>
      <w:r>
        <w:rPr>
          <w:b/>
        </w:rPr>
        <w:t>E. 6.3.1</w:t>
      </w:r>
    </w:p>
    <w:p>
      <w:r>
        <w:t>Le Tribunal constate que l'ex-épouse du recourant a bien indiqué comme l'une des raisons l'ayant poussée à épouser l'intéressé le rejet de la demande d'asile de ce dernier, ce qui l'avait conduit à contracter un mariage anticipé au mois de janvier 2000 après l'impulsion donnée en ce sens par le recourant (cf. réponses au questionnaire de l'ODM du 16 juin 2008, ch. 1.4, 1.5, 2.2 et 5.6). Certes, le recourant conteste les allégations précitées en faisant valoir qu'au moment où ils avaient décidé - en commun accord - de se marier, lui et B.________ n'avaient pas d'information au sujet de son départ de Suisse et qu'il pensait pouvoir rester en Suisse au vu de la situation régnant dans son pays d'origine et de son bon comportement (cf. observations du 17 juillet 2008 reprises dans le recours, p. 7). Cependant, l'intéressé ne peut nier qu'il savait que sa demande d'asile avait été rejetée le 24 novembre 1997, que son recours auprès de la CRA avait été déclaré irrecevable le 28 novembre 1998 et que son statut sur le plan administratif était précaire, ce que confirme son ex-épouse (cf. réponses du 16 juin 2008, ch. 2.1).</w:t>
      </w:r>
    </w:p>
    <w:p>
      <w:r>
        <w:rPr>
          <w:b/>
        </w:rPr>
        <w:t>E. 6.3.2</w:t>
      </w:r>
    </w:p>
    <w:p>
      <w:r>
        <w:t>Le recourant tente de démontrer l'effectivité et la stabilité de la communauté conjugale en soulignant qu'il faisait déjà vie commune avec B.________ depuis la mi-1998, soit près d'une année et demie avant le mariage contracté au mois de janvier 2000, avec la volonté commune de fonder un foyer, en insistant aussi sur le fait que les premières difficultés rencontrées par le couple ne seraient survenues qu'à la fin de l'année 2004, soit six ans et demi après le début de la vie commune, et que la requête tendant à la dissolution du lien conjugal n'avait été déposée que le 29 mai 2007, soit deux ans et demi après la séparation intervenue - selon lui - le 16 décembre 2004 (cf. mémoire de recours, p. 4-5). Or, le Tribunal observe que B.________ a affirmé que les premières difficultés conjugales ont commencé dès le début de sa formation à l'école hôtelière en 2002 et que même si, à l'époque, elle croyait que son mariage durerait toujours, la situation a rapidement changé lorsqu'elle a commencé ladite formation (cf. réponses du 16 juin 2008, ch. 3.2 et 5.6) au point que le couple s'est séparé à la fin de l'année 2004, soit une année après l'obtention de la naturalisation facilitée. A ce propos, l'intéressé a aussi reconnu que s'il y avait eu séparation, c'était non seulement pour des motifs financiers, mais aussi à cause du fait que l'épouse était souvent éloignée en raison de sa formation à Thoune, qui s'est étendue de 2002 à 2004 (cf. observations du 17 juillet 2008, p. 4 et recours, p. 4), soit déjà à une époque antérieure à la signature de la déclaration commune du 2 septembre 2003. Par ailleurs, il apparaît clairement que le recourant et B.________ n'avaient pas d'activité ou de loisirs communs, passaient rarement leur temps libre en commun et ne partaient jamais ensemble en vacances (cf. réponses du 16 juin 2008, ch. 3.4, 4.1, 4.2 et 5.3). Certes, l'intéressé a déclaré que le peu d'activités communes s'expliquait par le fait que son épouse était en formation toute la journée à Thoune durant trois ans, tandis que de son côté il travaillait, et que dans la mesure où ils avaient peu d'argent, ils ne pouvaient s'accorder que peu de loisirs; quant aux vacances, il a affirmé qu'en rasion de la guerre, « il n'y avait plus rien dans son pays », qu'il ne pouvait accueillir son épouse dans de bonnes conditions et que cette dernière ne s'était pas plainte de ne pas pouvoir l'accompagner (cf. observations du 17 juillet 2008, p. 3-4 et recours, p. 8-9). Cependant, ces explications ne convainquent guère le Tribunal en raison du fait que la formation de l'ex-épouse du recourant n'a commencé qu'en 2002, soit après trois ans et demi de vie commune et deux ans de mariage et qu'auparavant, à savoir dès le début de leur relation, le couple ne passait jamais de vacances en commun et partageait rarement le temps libre (cf. réponses du 16 juin 2008, ch. 5.3); il convient de relever à ce sujet que le pays d'origine du recourant n'était pas la seule destination envisageable pour des vacances et qu'il n'était pas nécessaire de disposer de larges moyens financiers pour partager des loisirs communs. Quant aux déclarations écrites de tiers décrivant l'image extérieure donnée par le couple - déclarations que le recourant a produites pour démontrer l'existence d'une union stable et effective - elles sont en contradiction avec le comportement adopté en privé par les époux dans leur relation de couple. En résumé, il apparaît ainsi que le couple était sujet à des difficultés bien avant la séparation survenue en 2004, soit en tout cas dès que B.________ a entrepris une formation à Thoune, et qu'à cette séparation s'ajoutaient d'autres difficultés (notamment d'ordre financier et du fait de l'absence d'activités communes). Force est de constater que les éléments relevés ci-avant démontrent qu'au moment de la déclaration commune du 2 septembre 2003 et du prononcé de la naturalisation facilitée, le mariage du recourant n'était pas constitutif d'une véritable communauté conjugale, au sens de la jurisprudence évoquée plus haut.</w:t>
      </w:r>
    </w:p>
    <w:p>
      <w:r>
        <w:rPr>
          <w:b/>
        </w:rPr>
        <w:t>E. 7.1</w:t>
      </w:r>
    </w:p>
    <w:p>
      <w:r>
        <w:t>Par ailleurs, le recourant n'a pas rendu vraisemblable la survenance d'un événement extraordinaire susceptible d'expliquer une détérioration rapide du lien conjugal, au sens indiqué ci-dessus (cf. ch. 4.2.2). En effet, en ce qui concerne les raisons ayant amené les époux Bytyqi à se séparer à la fin de l'année 2004, ces derniers présentent des versions contradictoires. Ainsi, selon la version exposée par l'ex-épouse, il n'y a pas eu un tel événement et les difficultés conjugales, liées à des problèmes financiers et à diverses priorités, sont apparues dès le début de sa formation à l'école hôtelière en 2002, soit près d'une année et demi avant l'octroi de la naturalisation facilitée (réponses du 16 juin 2008, ch. 3.2, 3.3 et 5.4). Selon la version avancée par l'intéressé dans son recours (cf. p. 4, 6 et 8), lesdites difficultés sont intervenues à la fin de l'année 2004, mais ce dernier n'a cependant pas mentionné de raisons précises quant à leur origine. Par contre, dans ses observations du 17 juillet 2008 (cf. p. 4), le recourant a bien admis que des raisons financières et l'éloignement de sa conjointe pour sa formation à l'école hôtelière à Thoune les avaient conduit à se séparer à la fin de l'année 2004. Ce faisant, A.________ a finalement confirmé en quelque sorte la version de son ex-épouse, même s'il affirme « qu'à l'époque de la séparation la désunion n'était pas consommée » et qu'il a continué de voir régulièrement B.________ et d'entretenir des relations intimes avec elle jusqu'au début de l'année 2007 (cf. recours p. 5).</w:t>
      </w:r>
    </w:p>
    <w:p>
      <w:r>
        <w:rPr>
          <w:b/>
        </w:rPr>
        <w:t>E. 7.2</w:t>
      </w:r>
    </w:p>
    <w:p>
      <w:r>
        <w:t>En conclusion, à défaut de contre-preuves apportées par le recourant, le Tribunal de céans est d'avis qu'il y a lieu de s'en tenir à la présomption de fait, fondée essentiellement sur l'enchaînement des événements, que la naturalisation facilitée a été obtenue de façon frauduleuse (cf. ATF 130 II 482). Partant, l'ODM était parfaitement fondé à considérer que la naturalisation facilitée conférée au recourant en date du 7 octobre 2003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25 septembre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