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C-6672/2008 vom 11. September 2009</w:t>
      </w:r>
    </w:p>
    <w:p>
      <w:r>
        <w:t>Bundesverwaltungsgericht, 2009-09-11, DE</w:t>
      </w:r>
    </w:p>
    <w:p>
      <w:r>
        <w:rPr>
          <w:b/>
        </w:rPr>
        <w:t xml:space="preserve">Quelle: </w:t>
      </w:r>
      <w:r>
        <w:t>https://mcp.opencaselaw.ch/entscheid/bvger_C-6672_2008</w:t>
      </w:r>
    </w:p>
    <w:p>
      <w:r>
        <w:t>FR: TAF C-6672/2008 du 11 septembre 2009</w:t>
      </w:r>
    </w:p>
    <w:p>
      <w:r>
        <w:t>IT: TAF C-6672/2008 del 11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Das Pro-Kopf-Einkommen betrug im Jahre 2008 in Sri Lanka 2'014 US-Dollar, das Bruttoinlandprodukt (BIP) 40,7 Mrd. US-Dollar. Wurde 2008 noch ein reales Wirtschaftswachstum von 6% erreicht, lassen die Werte des ersten Quartals 2009 (+ 1,5%) für das Gesamtjahr eine geringere Rate erwarten. Ein Problem für die weitere wirtschaftliche Entwicklung ist zunehmend die Inflation, die 2008 für srilankische Verhältnisse Rekordzahlen erreichte. Ausserdem weist die wirtschaftliche Entwicklung Sri Lankas grosse regionale Unterschiede auf. Wirtschaftliches Zentrum ist die Region rund um Colombo, die fast die Hälfte der gesamten Wirtschaftsleistung erbringt. Zur Mithilfe beim wirtschaftlichen Wiederaufbau des durch den Bürgerkrieg in seiner Entwicklung zurückgeworfenen Nordens hat die Regierung Sri Lankas alle Sektoren aufgerufen und erhofft sich ebenso internationale Unterstützung (Quelle: Deutsches Auswärtiges Amt, &lt;http://www.auswaertiges-amt.de&gt;, Länder, Reisen und Sicherheit &gt; Sri Lanka &gt; Wirtschaft, Stand: Juli 2009). Darüber hinaus verschlechterte sich die Sicherheitslage im ganzen Land seit 2006 wieder, nachdem erneut Kämpfe zwischen dem Militär und der "Liberation Tigers of Tamil Eelam" (LTTE) ausgebrochen waren. Davon besonders betroffen waren der Osten und Norden Sri Lankas; Anschläge - auch auf zivile Ziele - kamen jedoch im ganzen Land vor. Zudem hatte die Regierung im Januar 2008 das Waffenstillstandsabkommen mit der LTTE offiziell per 16. Januar 2008 gekündigt. Seither hatten die Gefechte im Norden des Landes zugenommen, wobei jedoch auch die Hauptstadt Colombo mehrfach von Anschlägen betroffen war (Quellen: Deutsches Auswärtiges Amt, a.a.O, Länder, Reisen und Sicherheit &gt; Sri Lanka &gt; Reise- und Sicherheitshinweis/Teilreisewarnung, Stand: 23. März 2009, sowie Eidgenössisches Departement für auswärtige Angelegenheiten [EDA], &lt;http://www.eda.admin.ch&gt;, Reisehinweise &gt; Reiseziele &gt; Sri Lanka, Stand: 9. März 2009; vgl. auch Urteile des Bundesverwaltungsgerichts C-5841/2007 vom 1. Juli 2009 E. 7.3, C-1739/2008 vom 3. April 2009 E. 7.2 sowie BVGE 2008/2 E. 7.2 bis 7.5). In den vergangenen Wochen und Monaten war die sri-lankische Armee in die letzten von den tamilischen Rebellen kontrollierten Gebiete vorgerückt und hatte die LTTE weiter zurückgedrängt. Nach einem über zwanzigjährigen bewaffneten Konflikt legten die LTTE am 17. Mai 2009 die Waffen nieder. Die Kämpfe zwischen Armee und Aufständischen in Sri Lanka haben viele Opfer unter der Zivilbevölkerung gefordert. Mehrere hunderttausend Menschen wurden aus ihren Wohnorten vertrieben. Die Lage in den ehemaligen Konfliktzonen im Norden, Osten und im Yala Nationalpark ist weiterhin unübersichtlich; das politische Klima bleibt gespannt. Auch nachdem die Regierung Sri Lankas die Kämpfe mit den Rebellen der LTTE für beendet erklärt hat, kann eine Fortsetzung des Guerilla-Krieges durch einzelne LTTE-Gruppen mit unter Umständen landesweiten Auswirkungen nicht ausgeschlossen werden (Quellen: Deutsches Auswärtiges Amt, a.a.O, Länder, Reisen und Sicherheit &gt; Sri Lanka &gt; Reise- und Sicherheitshinweis/Teilreisewarnung, Stand: 26. Mai 2009, sowie EDA, a.a.O., Reisehinweise &gt; Reiseziele &gt; Sri Lanka, Stand: 22. Mai 2009, unverändert gültig: 3. September 2009).</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wobei sich die Anzahl der Gesuche wegen der Eskalation des bewaffneten Konfliktes im Vergleich zum Vorjahr fast verdoppelt hat. Dieser Trend setzte sich in den ersten sechs Monaten dieses Jahres fort: In dieser Zeitspanne reichten bereits 860 Personen aus Sri Lanka in der Schweiz ein Asylgesuch ein, was einer Zunahme von 83% im Vergleich zum Vorjahr entspricht (vgl. kommentierte BFM-Asylstatistik, 2. Quartal 2009, vom 9. Juli 2009, S. 2 und 7, im Internet unter: &lt;http://www.bfm.admin.ch&gt;, Themen &gt; Statistiken).</w:t>
      </w:r>
    </w:p>
    <w:p>
      <w:r>
        <w:rPr>
          <w:b/>
        </w:rPr>
        <w:t>E. 8.1</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Andererseits muss bei Gesuchstellern,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8.2</w:t>
      </w:r>
    </w:p>
    <w:p>
      <w:r>
        <w:t>Die Eingeladene ist 24-jährig, unverheiratet und soll gemäss Auskunft der Schweizervertretung mit ihren Eltern und drei Geschwistern in Jaffna leben. Über ihre Wohnverhältnisse wurde von den Beteiligten allerdings nichts ausgeführt. Es kann demnach nicht davon ausgegangen werden, im persönlichen oder familiären Umfeld der Gesuchstellerin seien Verpflichtungen oder gar Abhängigkeiten vorhanden, die besondere Gewähr für eine Rückkehr nach Sri Lanka bieten könnten. Tatsache ist, dass die Gesuchstellerin im Norden Sri Lankas (Provinz Jaffna) und somit in einem Krisengebiet lebt. Dass der Zuwanderungsdruck aus dieser Region anhält, wird von der Beschwerdeführerin nicht in Frage gestellt. Auf der andern Seite leben mit ihrer Tante und deren Familie nähere Verwandte seit Jahren in der Schweiz, was einen gewissen Bezug schafft und bei der Eingeladenen den Wunsch auslösen könnte, es ihnen gleich zu tun.</w:t>
      </w:r>
    </w:p>
    <w:p>
      <w:r>
        <w:rPr>
          <w:b/>
        </w:rPr>
        <w:t>E. 8.3</w:t>
      </w:r>
    </w:p>
    <w:p>
      <w:r>
        <w:t>Entsprechend grosse Bedeutung kommt deshalb den wirtschaftlichen Verhältnissen zu, in denen sich die Gesuchstellerin befindet. Sie selber bezeichnete sich anlässlich der Gesucheinreichung als arbeitslos (vgl. Ziff. 9 des persönlichen Einreisegesuches vom 20. August 2008). Demgegenüber hielt die Beschwerdeführerin gegenüber der kantonalen Migrationsbehörde fest, ihre Nichte, welche studieren möchte, sei als Schneiderin tätig (vgl. den am 18. September 2008 ausgefüllten Auskunftsbogen). Entsprechende Arbeitsbestätigungen oder allfällige Einkommensbelege, welche die angeblichen beruflichen Bindungen der Gesuchstellerin in Sri Lanka zweifelsfrei nachgewiesen hätten, wurden hingegen von den Beteiligten weder während des vorinstanzlichen Verfahrens noch auf Beschwerdeebene vorgewiesen. Von einer starken (beruflichen) Verwurzelung, welche die Eingeladene verlässlich von einer Emigration abzuhalten vermöchte, kann demnach nicht ausgegangen werden. Vor diesem Hintergrund müssen die Beteuerungen der Beschwerdeführerin, wonach genügend Garantien für eine fristgerechte Wiederausreise vorhanden seien, als nicht ausschlaggebend bezeichnet werden. Im Übrigen hegte auch die Schweizerische Vertretung in Colombo, welche mit den Verhältnissen vor Ort am Besten vertraut ist und sich aufgrund einer persönlichen Begegnung ein Bild von der Gesuchstellerin machen konnte, Zweifel an einer fristgerechten und anstandslosen Wiederausreise und verweigerte formlos die Einreisebewilligung.</w:t>
      </w:r>
    </w:p>
    <w:p>
      <w:r>
        <w:rPr>
          <w:b/>
        </w:rPr>
        <w:t>E. 8.4</w:t>
      </w:r>
    </w:p>
    <w:p>
      <w:r>
        <w:t>Gestützt auf die vorstehenden Erwägungen durfte die Vorinstanz zu Recht davon ausgehen, die Wiederausreise der Gesuchstellerin sei im Sinne der massgeblichen Bestimmungen nicht gesichert. An der Richtigkeit dieser Einschätzung ändert auch die Tatsache nichts, dass die Beschwerdeführerin die rechtzeitige Rückkehr der eingeladenen Nichte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C-3174/2008 vom 8. Juni 2009 E. 8.3 und C-2618/2008 vom 26. Februar 2009 E. 11, mit weiteren Hinweisen).</w:t>
      </w:r>
    </w:p>
    <w:p>
      <w:r>
        <w:rPr>
          <w:b/>
        </w:rPr>
        <w:t>E. 9</w:t>
      </w:r>
    </w:p>
    <w:p>
      <w:r>
        <w:t>Der Vollständigkeit halber gilt es schliesslich darauf hinzuweisen, dass gemäss den gesetzlichen Bestimmungen die Ausländerin oder der Ausländer an den im Visum festgelegten Reise- und Aufenthaltszweck gebunden ist (vgl. Art. 15 VEV i.V.m. Art. 16 VEV, Art. 5 Abs. 1 Bst. c SGK). Die Gesuchstellerin gab am 20. August 2008 im Visumsantrag an, ihre in der Schweiz lebende Tante sei nach einem Spitalaufenthalt auf ihre Hilfe angewiesen. In der Rechtsmitteleingabe hat die Beschwerdeführerin unter Hinweis auf die ausgestellte ärztliche Bescheinigung vom 20. Oktober 2008 ausdrücklich festgehalten, sie habe ihre Nichte eingeladen, weil sie nach längerem Spitalaufenthalt körperlich eingeschränkt sei und für einige Monate eine Haushalthilfe benötige. Eine solche Tätigkeit, so nützlich sie für die Gastgeber auch sein mag, ist mit einem Aufenthalt zu Besuchszwecken kaum vereinbar. Arbeitsleistungen in Haushalt und/oder Familie - selbst wenn sie nur stunden- oder tageweise bzw. vorübergehend ausgeübt werden - gelten unbesehen einer allfälligen Entlöhnung zumindest dort als (bewilligungspflichtige) Erwerbstätigkeit, wo der Erwerbscharakter nicht durch eine besondere verwandtschaftliche und emotionale Nähe in den Hintergrund gedrängt wird (vgl. Art. 11 Abs. 2 AuG, Art. 1a der Verordnung vom 24. Oktober 2007 über Zulassung, Aufenthalt und Erwerbstätigkeit [VZAE, SR 142.201]; Urteile des Bundesverwaltungsgerichts C-6975/2008 vom 14. April 2009 E. 8 sowie C-204/2008 vom 5. März 2009 E. 9, mit weiteren Hinweisen). Wie bereits in der Zwischenverfügung des Bundesverwaltungsgerichts vom 29. Oktober 2008 festgehalten, würde die von der Gesuchstellerin beabsichtigte Mithilfe im Haushalt (sowie allenfalls bei der Betreuung der Kinder der Gastgeber) vermutungsweise als bewilligungspflichtige Erwerbstätigkeit gelten und wäre demnach von einem Aufenthalt zu Besuchszwecken nicht gedeckt, weshalb der Erteilung des beantragten Visums auch Hinderungsgründe im Sinne von Art. 12 Abs. 2 Bst. c in fine VEV, Art. 16 VEV und Art. 5 Abs. 1 Bst. c SGK entgegenstehen würden.</w:t>
      </w:r>
    </w:p>
    <w:p>
      <w:r>
        <w:rPr>
          <w:b/>
        </w:rPr>
        <w:t>E. 10</w:t>
      </w:r>
    </w:p>
    <w:p>
      <w:r>
        <w:t>Aus diesen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