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C-666/2010 vom 1. Juli 2011</w:t>
      </w:r>
    </w:p>
    <w:p>
      <w:r>
        <w:t>Bundesverwaltungsgericht, 2011-07-01, FR</w:t>
      </w:r>
    </w:p>
    <w:p>
      <w:r>
        <w:rPr>
          <w:b/>
        </w:rPr>
        <w:t xml:space="preserve">Quelle: </w:t>
      </w:r>
      <w:r>
        <w:t>https://mcp.opencaselaw.ch/entscheid/bvger_C-666_2010</w:t>
      </w:r>
    </w:p>
    <w:p>
      <w:r>
        <w:t>FR: TAF C-666/2010 du 1 juillet 2011</w:t>
      </w:r>
    </w:p>
    <w:p>
      <w:r>
        <w:t>IT: TAF C-666/2010 del 1 luglio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Dans la mesure où le recours a été déposé en temps utile, dans les formes requises par la loi (art. 60 LPGA et 52 PA) et l'avance de frais versée dans le délai imparti,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136 V 24 consid. 4.3 et les références). En l'occurrence, les dispositions de la 5ème révision de la LAI entrée en vigueur le 1er janvier 2008 sont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4.3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Selon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w:t>
      </w:r>
    </w:p>
    <w:p>
      <w:r>
        <w:rPr>
          <w:b/>
        </w:rPr>
        <w:t>E. 6.2</w:t>
      </w:r>
    </w:p>
    <w:p>
      <w:r>
        <w:t>En l'espèce, l'état de santé du recourant ayant déterminé la décision du 1er février 2006 de l'OAIE - reconnaissant un taux d'invalidité de 47% et octroyant un quart de rente à compter du 1er mars 2003 - doit être comparé avec l'état de santé de l'assuré à la base de la décision du 26 janvier 2010.</w:t>
      </w:r>
    </w:p>
    <w:p>
      <w:r>
        <w:rPr>
          <w:b/>
        </w:rPr>
        <w:t>E. 7</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w:t>
      </w:r>
    </w:p>
    <w:p>
      <w:r>
        <w:rPr>
          <w:b/>
        </w:rPr>
        <w:t>E. 8.3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9.1</w:t>
      </w:r>
    </w:p>
    <w:p>
      <w:r>
        <w:t>En l'espèce, le droit au quart de rente a été reconnu à l'assuré sur la base d'une expertise interdisciplinaire du 13 septembre 2005 et du rapport du Dr Muggli du 29 décembre 2005, aux termes desquels l'intéressé était surtout atteint d'un syndrome d'apnée du sommeil sévère soigné par ventilation assistée nocturne. Une coronaropathie était également mentionnée. Sur la base de ces affections, les médecins avaient estimé que l'intéressé pouvait reprendre une activité légère de substitution à 80% (après une période à 50%).</w:t>
      </w:r>
    </w:p>
    <w:p>
      <w:r>
        <w:rPr>
          <w:b/>
        </w:rPr>
        <w:t>E. 9.2</w:t>
      </w:r>
    </w:p>
    <w:p>
      <w:r>
        <w:t>Dans le cadre de la procédure de révision, l'OAIE a versé au dossier un rapport du Dr Guy du 28 janvier 2009. Le Dr Coisier a estimé que ce document ne permettait pas d'évaluer la capacité de travail résiduelle de l'intéressé et, dans sa note du 27 mars 2009, a demandé la production d'autres examens. Par courrier du 1er avril 2009, l'OAIE a concrétisé cette requête et demandé à la sécurité sociale française de produire les documents médicaux nécessaire à l'examen de la révision. Le certificat du Dr Bouras du 22 juillet 2009 a ainsi été versé aux actes. Or, à l'évidence, le certificat du Dr Bouras ne remplit pas les conditions pour procéder à un examen de la révision. Il ne répond du reste pas à ce qui avait été requis par l'OAIE dans son courrier du 1er avril 2009. Ce document mentionne uniquement que l'intéressé souffre de dyspnées d'effort, que l'auscultation précordiale et pulmonaire est normale et qu'il n'y a pas d'insuffisance cardiaque. Il est toutefois dépourvu de tout examen objectif et ne contient pas d'évaluation à proprement parler des fonctionnalités (respiratoires et/ou cardiaques) de l'intéressé. Par son caractère sommaire, il ne permet pas une évaluation comparative entre la situation existant lors de l'octroi du quart de rente et lors de sa suppression. Il n'indique pas non plus s'il y a eu une amélioration de l'état de santé de l'intéressé et dans quelle mesure elle pouvait influencer sa capacité de travail. Dans le cadre de la procédure de recours, l'intéressé a produit une note du Dr Courtot du 26 janvier 2010, qui se limite à indiquer qu'il est toujours invalide à 100%. Ce certificat est toutefois dépourvu de tout examen et ne saurait combler les lacunes constatées dans l'instruction de la procédure de révision. Il en va de même du certificat du Dr Guy du 16 novembre 2010, qui est superposable à celui du 29 janvier 2009 déjà versé au dossier. L'hospitalisation du 5 au 12 janvier 2010 pour une fessalgie droite, qui a fait l'objet d'un rapport daté du 12 janvier 2010, n'atteste pas non plus une aggravation durable de l'état de santé de l'intéressé et n'est pas de nature à éclaircir la capacité de travail résiduelle de l'intéressé.</w:t>
      </w:r>
    </w:p>
    <w:p>
      <w:r>
        <w:rPr>
          <w:b/>
        </w:rPr>
        <w:t>E. 9.3</w:t>
      </w:r>
    </w:p>
    <w:p>
      <w:r>
        <w:t>Suite à ces lacunes et contradictions, il est inévitable de procéder à un complément d'instruction du point de vue médical et d'ordonner une nouvelle expertise. L'OAIE devra notamment verser aux actes les documents déjà indiqués dans son courrier du 1er avril 2009 ou tout autre examen utile afin d'éclaircir l'évolution de la capacité de travail de l'intéressé. La cause doit dès lors être renvoyée à l'administration conformément à l'art. 61 PA pour complément d'instruction et nouvelle décision.</w:t>
      </w:r>
    </w:p>
    <w:p>
      <w:r>
        <w:rPr>
          <w:b/>
        </w:rPr>
        <w:t>E. 10.1</w:t>
      </w:r>
    </w:p>
    <w:p>
      <w:r>
        <w:t>Le recourant ayant obtenu partiellement gain de cause, il n'est pas perçu de frais de procédure (art. 63 PA). L'avance de frais perçue en cours d'instruction lui est donc restituée.</w:t>
      </w:r>
    </w:p>
    <w:p>
      <w:r>
        <w:rPr>
          <w:b/>
        </w:rPr>
        <w:t>E. 10.2</w:t>
      </w:r>
    </w:p>
    <w:p>
      <w:r>
        <w:t>Le recourant n'ayant pas agi en étant représenté, il ne lui est pas allouée d'indemnité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