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C-6669/2014 vom 6. April 2016</w:t>
      </w:r>
    </w:p>
    <w:p>
      <w:r>
        <w:t>Bundesverwaltungsgericht, 2016-04-06, DE</w:t>
      </w:r>
    </w:p>
    <w:p>
      <w:r>
        <w:rPr>
          <w:b/>
        </w:rPr>
        <w:t xml:space="preserve">Quelle: </w:t>
      </w:r>
      <w:r>
        <w:t>https://mcp.opencaselaw.ch/entscheid/bvger_C-6669_2014</w:t>
      </w:r>
    </w:p>
    <w:p>
      <w:r>
        <w:t>FR: TAF C-6669/2014 du 6 avril 2016</w:t>
      </w:r>
    </w:p>
    <w:p>
      <w:r>
        <w:t>IT: TAF C-6669/2014 del 6 aprile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sie kann sich auf ein schutzwürdiges Interesse an deren Aufhebung oder Änderung berufen (vgl. Art. 59 ATSG, Art. 48 Abs. 1 VwVG). Auf die frist- und formgerecht eingereichte Beschwerde (vgl. Art. 38 ff. und Art. 60 ATSG, Art. 52 Abs. 1 VwVG) ist daher grundsätzlich einzutreten.</w:t>
      </w:r>
    </w:p>
    <w:p>
      <w:r>
        <w:rPr>
          <w:b/>
        </w:rPr>
        <w:t>E. 1.3</w:t>
      </w:r>
    </w:p>
    <w:p>
      <w:r>
        <w:t>Anfechtungsgegenstand - welcher die Grenze des möglichen Streitgegenstandes bildet - ist eine Verfügung, mit welcher die Vorinstanz nicht auf die Neuanmeldung der Beschwerdeführerin eingetreten ist. Streitgegenstand kann daher lediglich die Frage bilden, ob die Vorinstanz zu Recht nicht auf die Neuanmeldung eingetreten ist. Soweit die Beschwerdeführerin beantragt, es sei ihr eine IV-Rente zuzusprechen, ist auf die Beschwerde nicht einzutreten (vgl. BGE 132 V 74 E. 1.1, Urteil BGer 9C_116/2010 vom 20. April 2010 E. 1).</w:t>
      </w:r>
    </w:p>
    <w:p>
      <w:r>
        <w:rPr>
          <w:b/>
        </w:rPr>
        <w:t>E. 2</w:t>
      </w:r>
    </w:p>
    <w:p>
      <w:r>
        <w:t>Das Vorliegen einer anspruchserheblichen Invalidität sowie die hier streitige Frage, ob die Vorinstanz zu Recht nicht auf die Neuanmeldung eingetreten ist, beurteilt sich auch im Anwendungsbereich des FZA und der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nach schweizerischem Recht (vgl. Urteil BVGer C-6027/2014 vom 8. Februar 2016 E. 2.1 m.w.H.).</w:t>
      </w:r>
    </w:p>
    <w:p>
      <w:r>
        <w:rPr>
          <w:b/>
        </w:rPr>
        <w:t>E. 2.1</w:t>
      </w:r>
    </w:p>
    <w:p>
      <w:r>
        <w:t>Für die beschwerdeweise Überprüfung einer Nichteintretensverfügung ist der Sachverhalt, wie er sich der Verwaltung bot, respektive die Aktenlage bei Erlass dieser Verfügung massgeblich (BGE 133 V 108 E. 5.4; 130 V 64 E. 5.2.5; Urteil BGer 9C_635/2015 vom 16. Oktober 2015 E. 2.1).</w:t>
      </w:r>
    </w:p>
    <w:p>
      <w:r>
        <w:rPr>
          <w:b/>
        </w:rPr>
        <w:t>E. 2.2</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[SR 831.201]).</w:t>
      </w:r>
    </w:p>
    <w:p>
      <w:r>
        <w:rPr>
          <w:b/>
        </w:rPr>
        <w:t>E. 2.2.1</w:t>
      </w:r>
    </w:p>
    <w:p>
      <w:r>
        <w:t>Mit dem Beweismass des Glaubhaftmachens sind herabgesetzte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(9C_635/2015 E. 2.2).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(Urteile BGer 8C_531/2013 vom 10. Juni 2014 E. 4.1.2, 9C_688/2007 vom 22. Januar 2008 E. 2.2 und 9C_286/2009 vom 28. Mai 2009 je mit Hinweis auf BGE 109 V 262 E. 3).</w:t>
      </w:r>
    </w:p>
    <w:p>
      <w:r>
        <w:rPr>
          <w:b/>
        </w:rPr>
        <w:t>E. 2.2.2</w:t>
      </w:r>
    </w:p>
    <w:p>
      <w:r>
        <w:t>In erster Linie ist es Sache der versicherten Person, substantielle Anhaltspunkte für eine allfällige neue Prüfung des Leistungsanspruchs darzulegen (betreffend Nachfristansetzung zur Einreichung ergänzender, in der Neuanmeldung lediglich in Aussicht gestellter Beweismittel vgl. BGE 130 V 64 E. 5.2.5). Wenn die der Neuanmeldung beigelegten ärztlichen Berichte so wenig substantiiert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(zum Ganzen: Urteil BGer 8C_228/2010 vom 19. Juli 2010 E. 2.3 mit Hinweis auf SZS 2009 S. 397 [9C_286/2009] E. 2.2.3; 8C_844/2012 E. 2.1 mit Hinweisen).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w:t>
      </w:r>
    </w:p>
    <w:p>
      <w:r>
        <w:t>Die Beschwerdeführerin beruft sich - wie bereits im vorinstanzlichen Verfahren - in erster Linie auf das Attest von Dr. B._______ vom 8. Juli 2014 und das Schreiben der C._______-Versicherung vom 25. Juni 2014. Daraus ergeben sich indessen keine Hinweise darauf, dass sich der Gesundheitszustand beziehungsweise die Erwerbsfähigkeit der Beschwerdeführerin seit der in Rechtskraft erwachsenen Verfügung vom 13. Dezember 2013 erheblich verändert haben könnte; eine Veränderung des Invaliditätsgrades wird damit nicht glaubhaft gemacht.</w:t>
      </w:r>
    </w:p>
    <w:p>
      <w:r>
        <w:rPr>
          <w:b/>
        </w:rPr>
        <w:t>E. 3.1</w:t>
      </w:r>
    </w:p>
    <w:p>
      <w:r>
        <w:t>Dr. B._______ bestätigt in ihrem Attest vom 8. Juli 2014, dass die Beschwerdeführerin an einer Hashimoto Thyreoiditis erkrankt sei. Die Hor­mon­einstellung gestalte sich "weiterhin" schwierig. Aktuell bestünden folgende Symptome: Müdigkeit, Erschöpfung, fehlende Belastbarkeit, Kon­zentrationsstörungen, taube Finger, Schwindel, Nackenverspannungen, Gewichtsabnahme auf unter 50 kg. Es liege ein schwerer Krankheitsverlauf vor. Die Beschwerdeführerin sei krankheitsbedingt nicht arbeitsfähig. Zur Entwicklung des Gesundheitszustandes werden keine Angaben gemacht.</w:t>
      </w:r>
    </w:p>
    <w:p>
      <w:r>
        <w:rPr>
          <w:b/>
        </w:rPr>
        <w:t>E. 3.2</w:t>
      </w:r>
    </w:p>
    <w:p>
      <w:r>
        <w:t>Die Diagnose der Hashimoto Thyreoiditis wird in den Akten seit 2011 verschiedentlich erwähnt (vgl. bspw. Verlaufsprotokoll Eingliederungsberatung vom 13. Oktober 2011 [IV-act. 27]); ein erster Bericht von Dr. B._______ mit dieser Diagnose und weitgehend ähnlicher Symptombeschreibung datiert vom 5. Januar 2012 (IV-act. 38). Zudem hatte die Beschwerdeführerin im Vorbescheidverfahren, welches im Hinblick auf die abweisende Verfügung vom 17. Dezember 2013 durchgeführt wurde, bereits geltend gemacht, die Diagnose der Hashimoto Thyreoiditis sei ungenügend berücksichtigt worden und einen Kurzbericht von Dr. B._______ vom 18. November 2013 beigelegt (vgl. IV-act. 79 - 83). Gestützt auf die Stellungnahme des regionalen ärztlichen Dienstes RAD (vgl. IV-act. 84) kam die Verwaltung zum Schluss, es liege keine anspruchsbegründende Invalidität vor und wies das Leistungsbegehren ab.</w:t>
      </w:r>
    </w:p>
    <w:p>
      <w:r>
        <w:rPr>
          <w:b/>
        </w:rPr>
        <w:t>E. 3.3</w:t>
      </w:r>
    </w:p>
    <w:p>
      <w:r>
        <w:t>Allein aus der Tatsache, dass Dr. B._______ in ihrem Bericht vom 18. November 2013 die Arbeitsfähigkeit als "sehr eingeschränkt" bezeichnete, im Attest vom 8. Juli 2014 aber als nicht mehr gegeben erachtete, lässt sich - mit Blick auf die jeweils angeführte Symptomatik - keine Verschlechterung ableiten, zumal diese Beurteilung nicht weiter begründet wird.</w:t>
      </w:r>
    </w:p>
    <w:p>
      <w:r>
        <w:rPr>
          <w:b/>
        </w:rPr>
        <w:t>E. 3.4</w:t>
      </w:r>
    </w:p>
    <w:p>
      <w:r>
        <w:t>Nicht geeignet, eine Verschlechterung der Erwerbsfähigkeit glaubhaft zu machen, ist auch das Schreiben der C._______-Versicherung vom 25. Juni 2014, welches lediglich bestätigt, dass die Beschwerdeführerin weiterhin Leistungen aus der Berufsunfähigkeits-Zusatzversicherung erhalte.</w:t>
      </w:r>
    </w:p>
    <w:p>
      <w:r>
        <w:rPr>
          <w:b/>
        </w:rPr>
        <w:t>E. 3.5</w:t>
      </w:r>
    </w:p>
    <w:p>
      <w:r>
        <w:t>Schliesslich ist festzuhalten, dass die Beschwerdeführerin - trotz entsprechender Information durch die SVA Zürich - in ihren Eingaben nie substantiiert geltend gemacht hat, ihre Erwerbsfähigkeit habe sich seit der abweisenden Verfügung vom 17. Dezember 2013 erheblich verschlechtert.</w:t>
      </w:r>
    </w:p>
    <w:p>
      <w:r>
        <w:rPr>
          <w:b/>
        </w:rPr>
        <w:t>E. 3.6</w:t>
      </w:r>
    </w:p>
    <w:p>
      <w:r>
        <w:t>Demnach war die Vorinstanz zweifellos nicht gehalten, auf das neue Leistungsbegehren einzutreten. Die Beschwerde erweist sich als offensichtlich unbegründet und ist im einzelrichterlichen Verfahren abzuweisen (vgl. Art. 23 Abs. 2 VGG i.V.m. Art. 85bis Abs. 3 AHVG und Art. 69 Abs. 2 IVG).</w:t>
      </w:r>
    </w:p>
    <w:p>
      <w:r>
        <w:rPr>
          <w:b/>
        </w:rPr>
        <w:t>E. 4</w:t>
      </w:r>
    </w:p>
    <w:p>
      <w:r>
        <w:t>In Anwendung von Art. 6 Bst. b des Reglements vom 21. Februar 2008 über die Kosten und Entschädigungen vor dem Bundesverwaltungsgericht (VGKE, SR 173.320.2) ist vorliegend auf das Erheben von Verfahrenskosten zu verzichten. Das Gesuch um Befreiung von Verfahrenskosten wird damit gegenstandslos. Eine Parteientschädigung ist nicht zuzusprechen (vgl.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