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C-6669/2008 vom 4. September 2009</w:t>
      </w:r>
    </w:p>
    <w:p>
      <w:r>
        <w:t>Bundesverwaltungsgericht, 2009-09-04, DE</w:t>
      </w:r>
    </w:p>
    <w:p>
      <w:r>
        <w:rPr>
          <w:b/>
        </w:rPr>
        <w:t xml:space="preserve">Quelle: </w:t>
      </w:r>
      <w:r>
        <w:t>https://mcp.opencaselaw.ch/entscheid/bvger_C-6669_2008</w:t>
      </w:r>
    </w:p>
    <w:p>
      <w:r>
        <w:t>FR: TAF C-6669/2008 du 4 septembre 2009</w:t>
      </w:r>
    </w:p>
    <w:p>
      <w:r>
        <w:t>IT: TAF C-6669/2008 del 4 settembre 2009</w:t>
      </w:r>
    </w:p>
    <w:p>
      <w:pPr>
        <w:pStyle w:val="Heading2"/>
      </w:pPr>
      <w:r>
        <w:t>Regeste</w:t>
      </w:r>
    </w:p>
    <w:p>
      <w:r>
        <w:t>Invalidenversicherung (IV)</w:t>
      </w:r>
    </w:p>
    <w:p>
      <w:pPr>
        <w:pStyle w:val="Heading2"/>
      </w:pPr>
      <w:r>
        <w:t>Erwägungen</w:t>
      </w:r>
    </w:p>
    <w:p>
      <w:r>
        <w:rPr>
          <w:b/>
        </w:rPr>
        <w:t>E. 1</w:t>
      </w:r>
    </w:p>
    <w:p>
      <w:r>
        <w:t>Die Beschwerde wird insoweit gutgeheissen, als die Verfügung vom 22. September 2008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2'000.- zugesprochen.</w:t>
      </w:r>
    </w:p>
    <w:p>
      <w:r>
        <w:rPr>
          <w:b/>
        </w:rPr>
        <w:t>E. 4</w:t>
      </w:r>
    </w:p>
    <w:p>
      <w:r>
        <w:t>Dieses Urteil geht an: den Beschwerdeführer (Gerichtsurkunde; Beilage: Kopie der Duplik [act. 11] inkl. Beilagen) die Vorinstanz (Ref-Nr._______)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