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C-6661/2014 vom 22. Oktober 2015</w:t>
      </w:r>
    </w:p>
    <w:p>
      <w:r>
        <w:t>Bundesverwaltungsgericht, 2015-10-22, DE</w:t>
      </w:r>
    </w:p>
    <w:p>
      <w:r>
        <w:rPr>
          <w:b/>
        </w:rPr>
        <w:t xml:space="preserve">Quelle: </w:t>
      </w:r>
      <w:r>
        <w:t>https://mcp.opencaselaw.ch/entscheid/bvger_C-6661_2014</w:t>
      </w:r>
    </w:p>
    <w:p>
      <w:r>
        <w:t>FR: TAF C-6661/2014 du 22 octobre 2015</w:t>
      </w:r>
    </w:p>
    <w:p>
      <w:r>
        <w:t>IT: TAF C-6661/2014 del 22 ottobre 2015</w:t>
      </w:r>
    </w:p>
    <w:p>
      <w:pPr>
        <w:pStyle w:val="Heading2"/>
      </w:pPr>
      <w:r>
        <w:t>Regeste</w:t>
      </w:r>
    </w:p>
    <w:p>
      <w:r>
        <w:t>Einreiseverbot</w:t>
      </w:r>
    </w:p>
    <w:p>
      <w:pPr>
        <w:pStyle w:val="Heading2"/>
      </w:pPr>
      <w:r>
        <w:t>Erwägungen</w:t>
      </w:r>
    </w:p>
    <w:p>
      <w:r>
        <w:rPr>
          <w:b/>
        </w:rPr>
        <w:t>E. 3.1</w:t>
      </w:r>
    </w:p>
    <w:p>
      <w:r>
        <w:t>Der Beschwerdeführer rügt in formeller Hinsicht eine Verletzung des Anspruchs auf rechtliches Gehör (vgl. Art. 29 Abs. 2 BV und Art. 29 ff. VwVG). Die Vorinstanz habe das Einreiseverbot erlassen, ohne das Ausmass der Schwarzarbeit auszuführen. In der Begründung finde sich ebenfalls keine Prognose betreffend Gefahr für eine künftige Rechtsverletzung.</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 3.33.3.1 Die Vorinstanz begründete ihre Verfügung folgendermassen: "Die obengenannte Person war in der Schweiz erwerbstätig, ohne im Besitze der erforderlichen ausländerrechtlichen Bewilligung zu sein. Gemäss ständiger Praxis und Rechtsprechung liegt damit ein Verstoss gegen die öffentliche Sicherheit und Ordnung im Sinne von Art. 67 AuG vor. Die im Rahmen des rechtlichen Gehörs gemachten Ausführungen vermögen keinen anderen Entscheid zu rechtfertigen." 3.3.2 Die Begründung der angefochtenen Verfügung ist wohl knapp ausgefallen und die privaten Interessen des Beschwerdeführers wurden nicht aufgeführt. Diese liess dennoch erkennen, dass die Verzeigung an die Staatsanwaltschaft Brugg-Zurzach wegen rechtswidrigen Aufenthalts in der Schweiz und Aufnahme einer Arbeitstätigkeit ohne Bewilligung zum Anlass genommen wurde, um eine Fernhaltemassnahme gestützt auf Art. 67 AuG (SR 142.20) anzuordnen. Dem Beschwerdeführer war es somit möglich, ein materiell begründetes Rechtsmittel gegen die Verfügung zu erheben. 3.3.3 Das SEM unterliess es, eine Gefährdungsprognose zu erstellen und diese in nachvollziehbarer Weise zu begründen. Beim vorliegenden zweijährigen Einreiseverbot handelt es sich jedoch nicht um ein längerfristiges Einreiseverbot, bei welchem die aktuelle und schwerwiegende Gefahr hätte begründet werden müssen (vgl. bspw. Urteil des BVGer C-535/2013 vom 9. Juli 2015 E. 3.3.2 m.H.). Auf eine Gefährdung gemäss Art. 67 Abs. 2 Bst. a AuG berief sich die Vorinstanz hingegen nicht. 3.3.4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 4.4.1 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 2406/2014 vom 19. Februar 2015 E. 4.2 m.H.). 4.2 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5.1</w:t>
      </w:r>
    </w:p>
    <w:p>
      <w:r>
        <w:t>Die Vorinstanz macht in ihrer Verfügung vom 15. Oktober 2014 geltend, der Beschwerdeführer sei in der Schweiz erwerbstätig gewesen, ohne im Besitz einer erforderlichen ausländerrechtlichen Bewilligung zu sein. Gemäss ständiger Praxis und Rechtsprechung liege damit ein Verstoss gegen die öffentliche Sicherheit und Ordnung im Sinne von Art. 67 AuG vor.</w:t>
      </w:r>
    </w:p>
    <w:p>
      <w:r>
        <w:rPr>
          <w:b/>
        </w:rPr>
        <w:t>E. 5.2</w:t>
      </w:r>
    </w:p>
    <w:p>
      <w:r>
        <w:t>Mit Beschwerde vom 14. November 2014 lässt der Beschwerdeführer durch seinen Rechtsvertreter vorgebringen, dass es zutreffend sei, dass er in der Schweiz ohne eine Bewilligung gearbeitet habe, jedoch nur geringfügig und unentgeltlich. Ein zweijähriges Einreiseverbot sei einerseits dem Risiko des erneuten Regelverstosses als auch seinen persönlichen und beruflichen Umständen unangemessen, da Angehörige von ihm in der Schweiz leben würden und er in Serbien eine Gärtnerei besitze. Er sei lediglich mit der Absicht in die Schweiz gereist, ein Gewächshaus, das er bei einer Internetauktion erstanden habe, nach Serbien mitzunehmen und nicht um zu arbeiten. Er habe nicht gewusst, dass eine unentgeltliche Gefälligkeit für seinen Schwager verboten sei. Im Urteil des BVGer C-457/2009 sei gegen eine Person, die wegen Schwarzarbeit, Alkoholverkaufs, eines hängigen Strafverfahrens wegen Betrugs sowie unerlaubten Erwerbs von Betäubungsmitteln ein Einreiseverbot von zwei Jahren verhängt worden. Demgegenüber habe der Beschwerdeführer lediglich einmal unbewilligt gearbeitet. Rechtsgleichheit verlange nach rechtsgleicher Behandlung (Art. 9 BV). Das zweijährige Einreiseverbot sei unverhältnismässig und verstosse gegen Art. 5 Abs. 2 BV.</w:t>
      </w:r>
    </w:p>
    <w:p>
      <w:r>
        <w:rPr>
          <w:b/>
        </w:rPr>
        <w:t>E. 5.3</w:t>
      </w:r>
    </w:p>
    <w:p>
      <w:r>
        <w:t>Die Vorinstanz führt in ihrer Vernehmlassung ergänzend aus, dass ein Verstoss gegen die öffentliche Sicherheit und Ordnung i. S. von Art. 67 Abs. 2 Bst. a AuG auch begehe, wer Normen des Ausländerrechts zuwider handle. Dabei genüge es, wenn der Person eine Sorgfaltspflichtverletzung zugerechnet werden könne. Unkenntnis und Fehlinterpretation stellten keinen hinreichenden Grund für ein Absehen von einer Fernhaltemassnahme dar. Es sei ohne Belang, ob die unbewilligte Erwerbstätigkeit nur stunden- oder tageweise oder vorübergehend ausgeübt worden sei. Prinzipiell gelte dies auch für Hilfestellungen im Familienkreis.</w:t>
      </w:r>
    </w:p>
    <w:p>
      <w:r>
        <w:rPr>
          <w:b/>
        </w:rPr>
        <w:t>E. 5.4</w:t>
      </w:r>
    </w:p>
    <w:p>
      <w:r>
        <w:t>Anlässlich der Einvernahme durch die Kantonspolizei Aargau gab der Schwager des Beschwerdeführers zu Protokoll, der Beschwerdeführer habe ihm nur einige Stunden bei Gartenarbeiten geholfen. Für diese Arbeit habe er ihm keinen Lohn ausbezahlt, sondern lediglich ein kleines Trinkgeld von ca. Fr. 100.- gegeben (kant.-pag. S. 33 f.).</w:t>
      </w:r>
    </w:p>
    <w:p>
      <w:r>
        <w:rPr>
          <w:b/>
        </w:rPr>
        <w:t>E. 5.5</w:t>
      </w:r>
    </w:p>
    <w:p>
      <w:r>
        <w:t>Der Beschwerdeführer gab bei der polizeilichen Einvernahme zu Protokoll, er habe Gartenarbeiten gemacht (ein Gelände planiert). Sein Schwager habe ihn darum gebeten, weil er wisse, dass er dies könne. Es sei ein Zufall, dass er heute gearbeitet habe. Normalerweise arbeite er nicht, wenn er die Familie besuche. Er habe seinen Schwager und seine Schwester gefragt, ob er Problem bekomme, wenn er für sie arbeite resp. sie unterstütze. Beide hätten ihm versichert, dass er ja nicht arbeite, sondern nur helfe. Er habe für seine Arbeiten keinen Lohn erhalten. Verpflegung und Unterkunft habe er gehabt, wie er es immer habe, wenn er bei ihnen zu Besuch sei. Er sei mit der Absicht in die Schweiz gekommen, ein Gewächshaus, welches er auf Ricardo ersteigert habe, nach Serbien mitzunehmen. Natürlich hätte ihm sein Schwager auch beim Abbau dieses Gewächshauses, welches in der Nähe von Lenzburg stehe, geholfen, damit er dieses nach Serbien mitnehmen und dort wieder aufbauen könne (kant.-pag. S. 22 ff.).</w:t>
      </w:r>
    </w:p>
    <w:p>
      <w:r>
        <w:rPr>
          <w:b/>
        </w:rPr>
        <w:t>E. 5.6</w:t>
      </w:r>
    </w:p>
    <w:p>
      <w:r>
        <w:t>Aufgrund der Aktenlage ist davon auszugehen, dass der Beschwerdeführer ohne Bewilligung erwerbstätig war (vgl. dazu auch E. 6 unten)</w:t>
      </w:r>
    </w:p>
    <w:p>
      <w:r>
        <w:rPr>
          <w:b/>
        </w:rPr>
        <w:t>E. 5.7</w:t>
      </w:r>
    </w:p>
    <w:p>
      <w:r>
        <w:t>Davon ist im Übrigen auch die strafurteilende Behörde ausgegangen, wurde der Beschwerdeführer doch mit Strafbefehl der Staatanwaltschaft Brugg-Zurzach vom 21. November 2014 wegen rechtswidrigen Aufenthalts und Erwerbstätigkeit ohne Bewilligung zu einer Geldstrafe von 90 Tagessätzen, bedingt aufgeschoben bei einer Probezeit von drei Jahren und einer Busse von Fr. 900.- verurteilt (zur Bindung der Administrativbehörde an das Erkenntnis der strafurteilenden Behörde vgl. BVGE 2013/33 E. 4.3; BGE 136 II 447 E. 3.1 je m.H.). 6.6.1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6.2 Aufgrund der vorliegenden Akten besteht kein Anlass, von der Einschätzung der Strafbehörden abzuweichen. Der Beschwerdeführer hat eingeräumt, dass er seinem Schwager geholfen und Kost und Logis erhalten habe (vgl. E. 5.5). Sein Schwager hat zudem ausgeführt, dass er dem Beschwerdeführer ein Trinkgeld von Fr. 100.- gegeben habe (vgl. E. 5.4). 6.3 Der Beschwerdeführer verweist auf sein verwandtschaftliches Verhältnis zu seinem Schwager. Der Schwager gewährte dem Beschwerdeführer Kost und Logis und gab ihm ein Trinkgeld von Fr. 100.-. Dafür liess er ihn Gartenarbeiten verrichten. Es handelte sich somit nicht um ein einseitiges Verhältnis. Eine Ausnahmesituation, wo der Erwerbscharakter durch eine besondere verwandtschaftliche oder emotionale Nähe in den Hintergrund gedrängt wird, liegt nicht vor (vgl. dazu Urteil des BVGer C-5190/2014 vom 25. September 2015 E. 5.3.3 m.H.). Die vom Beschwerdeführer erledigte Tätigkeit wird üblicherweise gegen Entgelt vorgenommen, weshalb sogar dann eine Bewilligungspflicht bestanden hätte, wenn sie unentgeltlich erfolgt wäre (Art. 11 Abs. 2 AuG). Dies war hier indessen nicht der Fall, hat der Schwager des Beschwerdeführers doch Kost und Logis übernommen und Fr. 100.- bezahlt. Ebenfalls nicht entscheidend ist, dass die Beschäftigung nur vorübergehend ausgeübt wurde (Art. 1a Abs. 1 VZAE). 6.4 Für die Verhängung eines Einreiseverbots ist zudem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C-6052/2013 vom 30. Juni 2015 E. 5.3). Überdies bestehen erhebliche Zweifel am Vorbringen des Beschwerdeführers, er habe nicht gewusst, dass er gegen das Gesetz verstossen habe. Anlässlich der polizeilichen Kontrolle konnte beobachtet werden, wie der Beschwerdeführer nach der Ankunft der Inspektoren die Flucht ergriffen und sich in einem Aussenraum versteckt hat (vgl. SEM-pag. S. 24). 6.5 Die Staatsanwaltschaft bestrafte den Beschwerdeführer mit einer Geldstrafe, ging also davon aus, dass er vorsätzlich - d.h. mit Wissen und Willen - ausländerrechtliche Bestimmungen verletzt hat (vgl. Art. 12 Abs. 2 f. StGB sowie Art. 115 Abs. 1 Bst. b und c AuG). Selbst wenn man lediglich von einem fahrlässigen Handeln des Beschwerdeführers ausginge - zumindest eine Sorgfaltspflichtverletzung ist ihm zuzurechnen, weil er sich über bestehende Rechte und Pflichten ins Bild hätte setzen müssen - bestünde hinreichender Anlass zum Erlass einer Fernhaltemassnahme (vgl. Urteil C-447/2013 vom 31. Januar 2014 E. 5.2.3 m.H.). 6.6 Der Beschwerdeführer ist somit durch seine Tätigkeit für seinen Schwager einer Erwerbstätigkeit nachgegangen, ohne im Besitz der hierfür erforderlichen Bewilligung zu sein (vgl. Art. 115 Abs. 1 Bst. b und c i.V.m. Art. 11 AuG und Art. 1a Abs. 1 VZAE) und machte sich des rechtswidrigen Aufenthalts schuldig. 6.7 Durch die Aufnahme einer Erwerbstätigkeit ohne Bewilligung hat der Beschwerdeführer gegen die öffentliche Sicherheit und Ordnung verstossen und damit hinreichenden Anlass für die Verhängung eines Einreiseverbotes gegeben (vgl. Art. 67 Abs. 2 Bst. a AuG; Art. 80 Abs. 1 Bst. a VZAE; E. 3.1).</w:t>
      </w:r>
    </w:p>
    <w:p>
      <w:r>
        <w:rPr>
          <w:b/>
        </w:rPr>
        <w:t>E. 7.1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 / Müller / Uhlmann, Allgemeines Verwaltungsrecht, 6. Aufl., Zürich und St.Gallen 2010, Rz. 613 f.).</w:t>
      </w:r>
    </w:p>
    <w:p>
      <w:r>
        <w:rPr>
          <w:b/>
        </w:rPr>
        <w:t>E. 7.2</w:t>
      </w:r>
    </w:p>
    <w:p>
      <w:r>
        <w:t>Der Beschwerdeführer ging in der Schweiz ohne Bewilligung einer Erwerbstätigkeit nach, hielt sich demzufolge illegal hier auf, und wurde deshalb weggewiesen. Aus dem von ihm manifestierten Verhalten ist auf eine Gefährdung der öffentlichen Sicherheit und Ordnung zu schliessen, d.h. das Einreiseverbot hat auch spezialpräventiven Charakter, um einer weiteren illegalen Erwerbstätigkeit des Beschwerdeführers und damit einer weiteren Störung der öffentlichen Sicherheit und Ordnung entgegenzuwirken (vgl. Urteil C-1608/2015 vom 26. August 2015 E. 5.2; zur Motivsubstitution vgl. Urteil C-3573/2014 vom 28. Januar 2015 E. 6.1).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7.3</w:t>
      </w:r>
    </w:p>
    <w:p>
      <w:r>
        <w:t>Den öffentlichen Interessen sind die privaten Interessen des Be­schwerdeführers gegenüberzustellen. Dieser beruft sich insbesondere auf seine verwandtschaftlichen Beziehungen in der Schweiz und dass ihm seine geschäftliche Tätigkeit (Gärtnerei in Serbien) erschwert würde, wenn er im ganzen Schengenraum keine Waren vor Ort mehr beziehen könne. Diese privaten Interessen vermögen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seinen Verwandten auch auf andere Weise als durch Besuche in der Schweiz pflegen (z.B. Briefverkehr, Telefonate, Besuche der Verwandten in seinem Heimatland). Die zweijährige Dauer der Fernhaltemassnahme entspricht sodann der heutigen Praxis des Gerichts in vergleichbaren Fällen (vgl. z.B. die Urteile des BVGer C-5190/2014 vom 25. September 2015 E. 6 und 7, C-1608/2015 vom 26. August 2015 E. 5, C-5556/2014 vom 28. Mai 2015 E. 5, C-7314/2014 vom 30. März 2015 E. 5, C 6993/2014 vom 30. März 2015 E. 5; C-3698/2012 vom 20. Februar 2014 E. 4.2; C 447/2013 vom 31. Januar 2014 E. 5; C 6693/2011 vom 1. März 2013 E. 4). Beim vom Beschwerdeführer erwähnten Urteil des BVGer C-457/2009 vom 10. Mai 2010 handelt es sich um ein älteres Urteil mit einer Teilwiedererwägung und einer nicht vergleichbaren Konstellation.</w:t>
      </w:r>
    </w:p>
    <w:p>
      <w:r>
        <w:rPr>
          <w:b/>
        </w:rPr>
        <w:t>E. 7.4</w:t>
      </w:r>
    </w:p>
    <w:p>
      <w:r>
        <w:t>Das verhängte Einreiseverbot stellt somit sowohl im Grundsatz als auch hinsichtlich der Dauer eine verhältnismässige und angemessene Massnahme zum Schutz der öffentlichen Sicherheit und Ordnung dar. Nicht zu beanstanden ist, dass dem Beschwerdeführer die Einreise in das Hoheitsgebiet sämtlicher Schengen-Staaten verboten wurde (vgl. Art. 21 i.V.m. Art. 24 SIS-II-VO sowie Urteil des BVGer C-5556/2014 vom 28. Mai 2015 E. 5.4.). Es bleibt den Schengen-Staaten überdies unbenommen, dem Beschwerdeführer bei Vorliegen besonderer Gründe die Einreise ins eigene Hoheitsgebiet zu gestatten (vgl. E. 4.2 sowie Art. 67 Abs. 5 AuG).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24. April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1'000.-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