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C-6661/2011 vom 18. Oktober 2012</w:t>
      </w:r>
    </w:p>
    <w:p>
      <w:r>
        <w:t>Bundesverwaltungsgericht, 2012-10-18, FR</w:t>
      </w:r>
    </w:p>
    <w:p>
      <w:r>
        <w:rPr>
          <w:b/>
        </w:rPr>
        <w:t xml:space="preserve">Quelle: </w:t>
      </w:r>
      <w:r>
        <w:t>https://mcp.opencaselaw.ch/entscheid/bvger_C-6661_2011</w:t>
      </w:r>
    </w:p>
    <w:p>
      <w:r>
        <w:t>FR: TAF C-6661/2011 du 18 octobre 2012</w:t>
      </w:r>
    </w:p>
    <w:p>
      <w:r>
        <w:t>IT: TAF C-6661/2011 del 18 ottobre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Le recours a été déposé le 21 novembre 2011. A défaut de preuve de la date de notification de la décision attaquée du 11 octobre 2011 qui a été envoyée par courrier normal, il faut considérer que le recours a été déposé en temps utile et dans les formes requises par la loi (art. 60 LPGA et 52 PA). Le recours est donc recevable.</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153a LAVS)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de vieillesse suisse ressortissent au droit interne suisse.</w:t>
      </w:r>
    </w:p>
    <w:p>
      <w:r>
        <w:rPr>
          <w:b/>
        </w:rPr>
        <w:t>E. 3.1</w:t>
      </w:r>
    </w:p>
    <w:p>
      <w:r>
        <w:t>Conformément à l'art. 53 al. 3 LPGA - matériellement analogue à l'art. 58 al. 1 PA qui était applicable jusqu'au 31 décembre 2002 en droit des assurances sociales - jusqu'à l'envoi de son préavis à l'autorité de recours, l'assureur peut reconsidérer une décision ou une décision sur opposition contre laquelle un recours a été formé. Selon la jurisprudence et la doctrine majoritaire, la notion de préavis doit être interprétée dans un sens large en ce sens que l'administration a encore la possibilité de révoquer sa décision si l'autorité de recours, après le dépôt de la réponse au recours, a invité celle-ci à prendre à nouveau position dans un échange d'écriture ultérieur (ATF 130 V 238 consid. 4.2; arrêt du Tribunal fédéral I 115/06 du 15 juin 2007 consid. 2.1; A. Pfleiderer, in: B. Waldmann / Ph. Weissenberger [éd.], Praxiskommentar zum Bundesgesetz über das Verwaltungsverfahren, Zurich/Bâle/Genève 2009, art. 58 n° 36; A. Mächler, in: Ch. Auer / M. Müller / B. Schindler, Kommentar zum Bundesgesetz über das Verwaltungsverfahren Zurich/Saint-Gall 2008, art. 58 n° 12). La décision prise pendente lite conformément à cette disposition ne met toutefois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et ATF 107 V 250).</w:t>
      </w:r>
    </w:p>
    <w:p>
      <w:r>
        <w:rPr>
          <w:b/>
        </w:rPr>
        <w:t>E. 3.2</w:t>
      </w:r>
    </w:p>
    <w:p>
      <w:r>
        <w:t>Par ordonnance du 13 décembre 2011, le Tribunal de céans a imparti à l'autorité inférieure un délai jusqu'au 13 février 2012 pour déposer une réponse au recours (TAF pce 2), prolongé, par ordonnance du 16 février 2012, jusqu'au 16 mars 2012 (TAF pce 4).</w:t>
      </w:r>
    </w:p>
    <w:p>
      <w:r>
        <w:rPr>
          <w:b/>
        </w:rPr>
        <w:t>E. 3.3</w:t>
      </w:r>
    </w:p>
    <w:p>
      <w:r>
        <w:t>Dans la réponse au recours du 21 février 2012, l'autorité inférieure a signalé au Tribunal de céans avoir rendu le 20 février 2012 une nouvelle décision (rectificative) en application de l'art. 53 al. 3 LPGA octroyant à la recourante une rente de vieillesse mensuelle de 195 francs en se basant sur une période de cotisations de cinq années entières (TAF pce 5).</w:t>
      </w:r>
    </w:p>
    <w:p>
      <w:r>
        <w:rPr>
          <w:b/>
        </w:rPr>
        <w:t>E. 3.4</w:t>
      </w:r>
    </w:p>
    <w:p>
      <w:r>
        <w:t>La recourante ayant contesté, dans sa réplique du 2 mars 2012, la durée de la période de cotisation retenue, la décision de rectification du 20 février 2012 ne met ainsi pas fin au litige dans la mesure où elle ne correspond pas aux conclusions de la recourante qui affirme avoir cotisé à des périodes non prises en compte par l'autorité inférieure. Ainsi le Tribunal de céans se doit d'entrer en matière sur le recours du 21 novembre 2011, dans la mesure où il n'est pas devenu sans objet.</w:t>
      </w:r>
    </w:p>
    <w:p>
      <w:r>
        <w:rPr>
          <w:b/>
        </w:rPr>
        <w:t>E. 4.1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4.4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4.5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5.1</w:t>
      </w:r>
    </w:p>
    <w:p>
      <w:r>
        <w:t>Dans le cas d'espèce est contestée la durée de la période de cotisations AVS/AI suisse à la base de la décision d'octroi de la rente. En l'occurrence, la CSC avait d'abord retenu une durée de cotisation de 4 années et 11 mois et ensuite, lors de la décision rectificative, une durée de cotisation de 5 années entières basée sur le compte individuel de la recourante duquel il ressortait qu'elle avait travaillé 2 mois en 1969, 11 mois en 1970, 12 mois en 1971, 11 mois en 1972, 12 mois en 1973 et 12 mois en 1974.</w:t>
      </w:r>
    </w:p>
    <w:p>
      <w:r>
        <w:rPr>
          <w:b/>
        </w:rPr>
        <w:t>E. 5.2</w:t>
      </w:r>
    </w:p>
    <w:p>
      <w:r>
        <w:t>La recourante quant à elle affirme avoir déjà travaillé pour X._______ de novembre 1965 à octobre 1969 et avoir encore travaillé pour Y._______ jusqu'en décembre 1975, mais elle n'apporte pas la preuve que des cotisations acquittées n'aient pas été enregistrées. Elle se limite à produire une lettre concernant le report d'une journée d'études de novembre 1974 et une attestation postale concernant une lettre recommandée qu'elle veut avoir expédiée en décembre 1975 à Y._______. Or d'éventuelles preuves pour l'année 1974 sont superflues puisque la CSC a déjà comptabilisé une durée de cotisations de 12 mois pour 1974. Par contre pour l'année 1975, la CSC n'a retenu aucune cotisation. La date oblitérée de l'envoi recommandé à Y._______ a été repassée et/ou corrigée à la main. Même si la recourante a adressé un envoi recommandé à Y._______ en décembre 1975, ce fait n'est pas de nature à prouver qu'elle travaillait pour cette entreprise à ce moment-là.</w:t>
      </w:r>
    </w:p>
    <w:p>
      <w:r>
        <w:rPr>
          <w:b/>
        </w:rPr>
        <w:t>E. 5.3</w:t>
      </w:r>
    </w:p>
    <w:p>
      <w:r>
        <w:t>La Cours de céans observe que la CSC, conformément à la jurisprudence précitée (cf. consid. 4.4 et 4.5), a effectué des investigations auprès de la caisse de compensation 106.1, à laquelle les deux employeurs concernés (X._______ et Y._______) étaient affiliés. Les informations livrées par cette caisse ont permis de trouver trace d'un mois supplémentaire de cotisations (novembre 1969) qui a été pris en compte dans la décision rectificative. Dans sa demande d'autorisation de travail pour frontalier du 22 octobre 1969, X._______ indiquait que la recourante n'avait encore jamais travaillé à Genève (CSC pce 3 p. 5). Vu les pièces produites, il semble exclu que la recourante se soit acquittée de cotisations avant novembre 1969 et que celles-ci n'aient pas été enregistrées. De plus elle allègue avoir travaillé sans interruption de janvier 1973 à décembre 1975 pour Y._______, alors que les attestations concernant l'impôt à la source indiquent un changement d'employeur au début de l'année 1974 (CSC pce 6 p. 22 - 23). La recourante a en effet travaillé pour Y._______ du 1er janvier 1973 au 21 janvier 1974 et pour Z._______ du 11 février au 31 décembre 1974. En outre l'attestation concernant la carrière d'assurance en France (CSC pce 6 p. 25) fait état de quatre trimestres de périodes d'assurance en France pour l'année 1975 en tant que salariée.</w:t>
      </w:r>
    </w:p>
    <w:p>
      <w:r>
        <w:rPr>
          <w:b/>
        </w:rPr>
        <w:t>E. 6</w:t>
      </w:r>
    </w:p>
    <w:p>
      <w:r>
        <w:t>Au vu de ce qui précède, le Tribunal de céans se doit de constater que la CSC a correctement établi la durée de cotisation de la recourante et que dès lors elle s'est justement basée sur une durée de cotisation de 5 années entières. Par ailleurs, un examen des autres éléments à la base du calcul de rente permet de conclure que le montant attribué est correct.</w:t>
      </w:r>
    </w:p>
    <w:p>
      <w:r>
        <w:rPr>
          <w:b/>
        </w:rPr>
        <w:t>E. 7</w:t>
      </w:r>
    </w:p>
    <w:p>
      <w:r>
        <w:t>Il appert que le recours, dans la mesure où il n'est pas devenu sans objet, étant manifestement infondé, est rejeté et la décision rectificative du 20 février 2012 confirmée dans une procédure à juge unique en application de l'art. 85bis al. 3 LAVS en relation avec l'art. 23 al. 2 LTAF.</w:t>
      </w:r>
    </w:p>
    <w:p>
      <w:r>
        <w:rPr>
          <w:b/>
        </w:rPr>
        <w:t>E. 8.1</w:t>
      </w:r>
    </w:p>
    <w:p>
      <w:r>
        <w:t>Il n'est pas perçu de frais de procédure (art. 85bis al. 2 LAVS).</w:t>
      </w:r>
    </w:p>
    <w:p>
      <w:r>
        <w:rPr>
          <w:b/>
        </w:rPr>
        <w:t>E. 8.2</w:t>
      </w:r>
    </w:p>
    <w:p>
      <w:r>
        <w:t>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