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C-665/2012 vom 10. Oktober 2012</w:t>
      </w:r>
    </w:p>
    <w:p>
      <w:r>
        <w:t>Bundesverwaltungsgericht, 2012-10-10, DE</w:t>
      </w:r>
    </w:p>
    <w:p>
      <w:r>
        <w:rPr>
          <w:b/>
        </w:rPr>
        <w:t xml:space="preserve">Quelle: </w:t>
      </w:r>
      <w:r>
        <w:t>https://mcp.opencaselaw.ch/entscheid/bvger_C-665_2012</w:t>
      </w:r>
    </w:p>
    <w:p>
      <w:r>
        <w:t>FR: TAF C-665/2012 du 10 octobre 2012</w:t>
      </w:r>
    </w:p>
    <w:p>
      <w:r>
        <w:t>IT: TAF C-665/2012 del 10 ottobre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In zeitlicher Hinsicht sind grundsätzlich diejenigen materiellen Rechts­sätze massgebend, die bei der Erfüllung des zu Rechtsfolgen führenden Tatbestandes Geltung hatten (BGE 130 V 329 E. 2.3). Die Frage, ob die SAK A._______ zu Recht keine Kinder- bzw. Waisenrente zugesprochen hat (vgl. Einspracheentscheid vom 12. Januar 2012), beurteilt sich nach den in diesem Zeitpunkt gültigen Bestimmungen des AHVG und der Verordnung über die Alters- und Hinterlassenenver­sicherung vom 31. Oktober 1947 (AHVV, SR 831.101).</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Männer haben gemäss Art. 21 Abs. 1 Bst. a AHVG Anspruch auf eine Altersrente, wenn sie das 65. Altersjahr vollendet haben. Laut Abs. 2 entsteht der Anspruch auf die Altersrente am ersten Tag des Monats, welcher der Vollendung des gemäss Abs. 1 massgebenden Altersjahres folgt.</w:t>
      </w:r>
    </w:p>
    <w:p>
      <w:r>
        <w:rPr>
          <w:b/>
        </w:rPr>
        <w:t>E. 3.2.1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w:t>
      </w:r>
    </w:p>
    <w:p>
      <w:r>
        <w:rPr>
          <w:b/>
        </w:rPr>
        <w:t>E. 3.2.2</w:t>
      </w:r>
    </w:p>
    <w:p>
      <w:r>
        <w:t>Anspruch auf eine Waisenrente haben Kinder, deren Vater oder Mutter gestorben ist (Art. 25 Abs. 1 Satz 1 AHVG). Gemäss Art. 25 Abs. 3 AHVG in Verbindung mit Art. 49 Abs. 1 AHVV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3.2.3</w:t>
      </w:r>
    </w:p>
    <w:p>
      <w:r>
        <w:t>Das Stiefkind, das im Haushalt des Stiefvaters oder der Stiefmutter lebt, ist einem Pflegekind gleichgestellt, wenn der Stiefelternteil unentgeltlich für seinen Unterhalt aufgekommen ist (Urteil EVG H 123/02 vom 24. Februar 2003 E. 1 mit Hinweisen, Urteil EVG B 14/04 vom 19. Sep­tember 2005 E. 1.3).</w:t>
      </w:r>
    </w:p>
    <w:p>
      <w:r>
        <w:rPr>
          <w:b/>
        </w:rPr>
        <w:t>E. 3.2.4</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Bern 1999, S. 76 N 10.04).</w:t>
      </w:r>
    </w:p>
    <w:p>
      <w:r>
        <w:rPr>
          <w:b/>
        </w:rPr>
        <w:t>E. 3.2.5</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Hinweisen auf Literatur und Rechtsprechung).</w:t>
      </w:r>
    </w:p>
    <w:p>
      <w:r>
        <w:rPr>
          <w:b/>
        </w:rPr>
        <w:t>E. 4.1</w:t>
      </w:r>
    </w:p>
    <w:p>
      <w:r>
        <w:t>Nach Ansicht der Vorinstanz besteht kein Anspruch auf eine Kinder- bzw. Waisenrente für A._______, weil E._______ seinen Wohnsitz in der Schweiz gehabt und damit nicht wie sein Stiefsohn und seine Ehefrau im gleichen Haushalt gelebt habe.</w:t>
      </w:r>
    </w:p>
    <w:p>
      <w:r>
        <w:rPr>
          <w:b/>
        </w:rPr>
        <w:t>E. 4.2</w:t>
      </w:r>
    </w:p>
    <w:p>
      <w:r>
        <w:t>Der Beschwerdeführer macht im Wesentlichen geltend, dass E._______ seinen Wohnsitz in Thailand gehabt und im gleichen Haushalt wie er und seine Mutter gelebt habe. Gemäss Art. 13 Abs. 1 ATSG bestimmt sich der Wohnsitz einer Person nach den Art. 23 bis 26 des Zivilgesetzbuches (ZGB, SR 210). Der Wohnsitz einer Person befindet sich an dem Orte, wo sie sich mit der Absicht des dauernden Verbleibens aufhält (Art. 23 Abs. 1 ZGB).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Bei verheirateten Personen befindet sich der Mittelpunkt der Lebensbeziehungen üblicherweise am Wohnort der Familie, nicht am Arbeitsort (Daniel Staehelin in: Basler Kommentar Zivilgesetzbuch I, Honsell/Vogt/Geiser [Hrsg.], 4. Aufl., Zürich/St. Gallen 2010, Art. 23 N 11). Nicht massgebend für den zivilrechtlichen Wohnsitz ist, wo eine Person angemeldet ist und wo sie ihre Schriften domiziliert hat (Staehelin, a.a.O, Art. 23 N 23). Gemäss Art. 23 Abs. 2 ZGB kann niemand an mehreren Orten zugleich Wohnsitz haben.</w:t>
      </w:r>
    </w:p>
    <w:p>
      <w:r>
        <w:rPr>
          <w:b/>
        </w:rPr>
        <w:t>E. 4.3</w:t>
      </w:r>
    </w:p>
    <w:p>
      <w:r>
        <w:t>E._______ bezog seit September 2001 eine AHV-Rente (SAK-act. 10, 11 und 15). B._______ macht geltend, dass sie in Thailand seit über zehn Jahren in einer eheähnlichen Beziehung mit E._______ gelebt habe. Aus den eingereichten Auszügen des Passes von E._______ ist ersichtlich, dass dieser in den Jahren 2006 bis 2009 diverse Male für mehrere Monate nach Thailand gereist ist (BVGer-act. 1). Gemäss unbestrittenen und glaubwürdigen Angaben von B._______ ist E._______ seit November 2009 nicht mehr aus Thailand ausgereist. Am 21. Januar 2010 heiratete er in Thailand Frau B._______. Am 15. Februar 2011 gab E._______ im Fragebogen betreffend Steuerdomizil für getrennt lebende Ehegatten zwar an, dass seine Wohnadresse und sein Wohnsitz in der Schweiz seien. Als Telefonnummer gab er jedoch eine thailändische Nummer an. Gleichzeitig führte er in diesem Fragebogen aus, dass seine Rente ungenügend sei, um in der Schweiz zu leben; die meiste Zeit lebe er zusammen mit seiner Ehefrau in Thailand. Wenn er in die Schweiz komme, lebe er in X._______. Er empfinde dies nicht als "Separation" von seiner Ehefrau. Seine Rente reiche aus, um die Lebenskosten der Familie in Thailand zu finanzieren (SAK-act. 24). Gemäss Totenschein des Bezirksamts Y._______ ist E._______ am 25. März 2011 im Haus seiner Ehefrau B._______ in Thailand verstorben (SAK-act. 17). Es ist daher davon auszugehen, dass der Mittelpunkt der Lebensbeziehungen und dementsprechend auch der Wohnsitz von E._______ am Wohnort seiner Ehefrau in Thailand gewesen ist. Daran vermag - entgegen der Auffassung der Vorinstanz - auch der Umstand nichts zu ändern, dass E._______ bis zu seinem Tode in der Schweiz angemeldet war (vgl. E. 4.2 hiervor). Demnach ist die Beschwerde insoweit gutzuheissen, als der angefochtene Einspracheentscheid aufzuheben und die Sache zur Prüfung der weiteren Anspruchsvoraussetzungen für die Gewährung einer Kinder- bzw. Waisenrente an die SAK zurückzuweisen ist.</w:t>
      </w:r>
    </w:p>
    <w:p>
      <w:r>
        <w:rPr>
          <w:b/>
        </w:rPr>
        <w:t>E. 5</w:t>
      </w:r>
    </w:p>
    <w:p>
      <w:r>
        <w:t>Zu befinden bleibt noch über die Verfahrenskosten und eine allfällige Parteientschädigung.</w:t>
      </w:r>
    </w:p>
    <w:p>
      <w:r>
        <w:rPr>
          <w:b/>
        </w:rPr>
        <w:t>E. 5.1</w:t>
      </w:r>
    </w:p>
    <w:p>
      <w:r>
        <w:t>Das Verfahren ist kostenlos (Art. 85bis Abs. 2 erster Satz AHVG).</w:t>
      </w:r>
    </w:p>
    <w:p>
      <w:r>
        <w:rPr>
          <w:b/>
        </w:rPr>
        <w:t>E. 5.2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