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C-6657/2010 vom 12. Februar 2013</w:t>
      </w:r>
    </w:p>
    <w:p>
      <w:r>
        <w:t>Bundesverwaltungsgericht, 2013-02-12, DE</w:t>
      </w:r>
    </w:p>
    <w:p>
      <w:r>
        <w:rPr>
          <w:b/>
        </w:rPr>
        <w:t xml:space="preserve">Quelle: </w:t>
      </w:r>
      <w:r>
        <w:t>https://mcp.opencaselaw.ch/entscheid/bvger_C-6657_2010</w:t>
      </w:r>
    </w:p>
    <w:p>
      <w:r>
        <w:t>FR: TAF C-6657/2010 du 12 février 2013</w:t>
      </w:r>
    </w:p>
    <w:p>
      <w:r>
        <w:t>IT: TAF C-6657/2010 del 12 febbraio 2013</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20. Juli 2010 (act. 52)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vom 20. Juli 2010 (act. 52), mit welcher die bisherige ganze IV-Rente per 1. September 2010 aufgehoben worden ist.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Bürger der Republik Kosovo findet demnach weiterhin das schweizerisch-jugoslawische Sozialversicherungsab­kommen vom 8. Juni 1962 Anwendung (vgl. Urteil des Bundesverwaltungsgerichts [BVGer] C-4828/2010 vom 7. März 2011 E. 5.4; vgl. auch Urteil des Bundesgerichts [BGer] 9C_171/2012 vom 23. Mai 2012).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20. Juli 2010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127 V 294 E. 4c in fine, 102 V 165; AHI 2001 S. 228 E. 2b).</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 Nach der Recht­sprechung des Eidgenössischen Versicherungsgerichts (EVG; seit 1. Januar 2007: BGer) stellt diese Regelung nicht eine blosse Auszah­lungsvorschrift, sondern eine be­sondere Anspruchsvoraussetzung dar (BGE 121 V 275 E. 6c).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In zeitlicher Hinsicht ist der Sachverhalt im Zeitpunkt der ursprünglichen Rentenverfügung vom 23. Februar 2005 (act. 26) mit demjenigen zur Zeit der streitigen Revisionsverfügung vom 20. Juli 2010 (act. 52) zu vergleichen (vgl. BGE 130 V 343 E. 3.5.2, 125 V 368 E. 2, SVR 2010 IV Nr. 53 S. 166 E. 3.1).</w:t>
      </w:r>
    </w:p>
    <w:p>
      <w:r>
        <w:rPr>
          <w:b/>
        </w:rPr>
        <w:t>E. 3.1</w:t>
      </w:r>
    </w:p>
    <w:p>
      <w:r>
        <w:t>Im Rahmen des Erlasses der Verfügung vom 23. Februar 2005 stützte sich die Vorinstanz insbesondere auf die am 17. November 2004 von Dr. med. C._______ vom medizinischen Dienst abgegebene Stellungnahme. Darin wurde - in Kenntnis ausländischer ärztlicher Dokumente (act. 14 bis 18) - im Wesentlichen eine seit dem 3. Januar 1999 bestehende posttraumatische Belastungsstörung mit depressivem Gedankengut diagnostiziert (act. 20).</w:t>
      </w:r>
    </w:p>
    <w:p>
      <w:r>
        <w:rPr>
          <w:b/>
        </w:rPr>
        <w:t>E. 3.2</w:t>
      </w:r>
    </w:p>
    <w:p>
      <w:r>
        <w:t>Beim Erlass der angefochtenen Verfügung vom 20. Juli 2010 diente der Vorinstanz als entscheidrelevante medizinische Grundlage insbesondere der Bericht des RAD-Arztes Dr. med. B._______, Facharzt für Allgemeine Medizin, vom 29. Januar 2010 (act. 45). Dr. med. B._______ stellte mit Auswirkungen auf die Arbeitsfähigkeit keine Diagnosen. Er führte im Wesentlichen aus, im psychiatrischen Bericht vom 12. November 2009 seien als Diagnose rezidivierende depressive Störungen vorgeschlagen, der aktuelle Zustand jedoch nicht erwähnt worden. Die beschriebene Symptomatik schliesse eine aktuell vorhandene, mittelschwere oder schwere depressive Episode gemäss ICD-10 aus. Ausserdem seien weder ein sozialer Rückzug noch andere objektive Schwierigkeiten zur Reintegration in die Arbeitswelt beschrieben worden. Der Zustand des posttraumatischen Stresses, welcher ursächlich für die Rentenzusprache gewesen sei, bestehe nicht mehr. Die aktuelle Symptomatologie entspreche äusserstenfalls einer leichten Episode, welche keine signifikante funktionelle Limitierung verursache und keine Arbeitsunfähigkeit sowohl in der zuletzt ausgeübten als auch in allen anderen adaptierten Tätigkeiten rechtfertige. Es sei eine Verbesserung des Gesundheitszustands eingetreten.</w:t>
      </w:r>
    </w:p>
    <w:p>
      <w:r>
        <w:rPr>
          <w:b/>
        </w:rPr>
        <w:t>E. 3.3.1</w:t>
      </w:r>
    </w:p>
    <w:p>
      <w:r>
        <w:t>Bei der Stellungnahme von Dr. med. B._______ vom 29. Januar 2010 handelt es sich um einen Bericht im Sinne von Art. 59 Abs. 2bis IVG (vgl. zum Sinn und Zweck dieser gesetzlichen Norm sowie zu Art. 49 IVV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3.3.2</w:t>
      </w:r>
    </w:p>
    <w:p>
      <w:r>
        <w:t>Wie bereits dargelegt wurde (vgl. E. 2.7 hiervor),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Zwar kann RAD-Stellungnahmen - auch wenn den entsprechenden Ärzten die an sich zwingende fachärztliche Ausbildung fehlt - unter gewissen Voraussetzungen ausnahmsweise Gewicht zukommen resp. könnten diese als beweiskräftig qualifiziert werden (vgl. hierzu bspw. Urteil des BVGer C-2862/2010 vom 7. Mai 2012 E. 3.3.2. mit Hinweis). Dies trifft jedoch auf die Stellungnahme von Dr. med. B._______ vom 29. Januar 2010 aus folgenden Gründen nicht zu:</w:t>
      </w:r>
    </w:p>
    <w:p>
      <w:r>
        <w:rPr>
          <w:b/>
        </w:rPr>
        <w:t>E. 3.3.3</w:t>
      </w:r>
    </w:p>
    <w:p>
      <w:r>
        <w:t>Mit Blick auf die aktenkundigen medizinischen Akten ergibt sich, dass hinsichtlich der beim Beschwerdeführer vorhandenen Diagnosen keine fachärztlich gesicherten und somit rechtsgenüglichen Abklärungsergebnisse vorliegen. Während Dr. med. D._______, Facharzt für Neuropsychiatrie, im Bericht vom 27. Februar 2006 eine posttraumatische Belastungsstörung (ICD-10: F43.1) diagnostizierte (act. 34 und 35), stellte Dr. med. E._______ von der "F._______" in seinen Berichten vom 3. Juni 2008 und 24. Mai 2009 die Diagnosen eines depressiven paranoiden Syndroms (ohne ICD-10-Klassifikation; act. 36 und 37) und eines depressiven Syndroms/"CSPT" (erneut ohne ICD-Klassifikation; act. 38 und 39). Schliesslich verwendete Dr. med. D._______ in seinem Bericht vom 30. September den ICD-Code ICD-10: F32.3, welcher für eine schwere depressive Episode mit psychotischen Symptomen steht (act. 40 und 41). Dr. med. G._______ erwähnte in seinem Bericht vom 12. November 2009, der Versicherte sei unregelmässig wiederkehrend depressiv, und ordnete diese gesundheitlichen Beeinträchtigung dem ICD-Code ICD-10: F33 - mit welchem eine rezidivierende depressive Störung klassifiziert wird - unter (act 42 und 43). Dr. med. G._______ beschrieb unter dem Titel "Rapport psychiatrique" einen weitgehend unauffälligen Gesundheitszustand und erwähnte weiter eine allmähliche progressive Entwicklung sowie einen stationären Zustand. Vorab ist betreffend die im Bericht vom 12. November 2009 von Dr. med. G._______ zum Gesundheitszustand des Beschwerdeführers gemachten Aussagen festzuhalten, dass dieses ärztliche Dokument keine - auf einer Untersuchung beruhende - Beurteilung enthält, welche den Beweisanforderungen an einen voll beweiskräftigen Arztbericht genügt. Zwar lassen eine oder mehrere Diagnosen für sich alleine genommen keinen Schluss auf eine gesundheitlich bedingte Einschränkung in der Arbeitsfähigkeit zu (vgl. BGE 132 V 65 E. 3.4 mit Hinweisen) und sind retrospektive Beurteilungen der Arbeitsfähigkeit schwierig, weshalb entsprechende Begutachtungen erhöhten Ansprüchen genügen sollten (vgl. Urteil des EVG I 200/03 vom 26. Juli 2004 E. 4.5). Aufgrund der widersprüchlichen Diagnosestellungen und divergierender Angaben der Dres. med. B._______ und G._______, Facharzt für Neuropsychiatrie (http://pristina.usembassy.gov/uploads/images/d545jiTcrBxPJeyBk_n9xg/list_Physician_update.pdf) zur Arbeits- und Leistungsfähigkeit (act. 42, 43 Ziff. 7 und 45) kann jedoch nicht im Sinne einer antizipierten Beweiswürdigung (vgl. hierzu BGE 131 I 153 E. 3; SVR 2007 IV Nr. 45 S. 149 E. 4; Urteil des BGer I 9/07 vom 9. Februar 2007 E. 4) gesagt werden, dass auf eine zusätzliche, medizinisch nachvollziehbare und schlüssig begründete Beurteilung des Gesundheitszustands und der Arbeits- resp. Leistungsunfähigkeit des Beschwerdeführers verzichtet werden könnte (vgl. zum Ganzen Urteil des BGer 8C_189/2008 vom 4. Juli 2008 E. 5 mit Hinweisen). Sollten die ergänzenden, zwingend durchzuführenden medizinischen Abklärungen zeigen, dass die Diagnose(n) im massgeblichen Zeitpunkt (vgl. E. 3. hiervor) identisch geblieben sind, ist ergänzend festzuhalten, dass dies eine revisionsrechtlich erhebliche Steigerung des tatsächlichen Leistungsvermögens (Arbeitsfähigkeit) grundsätzlich nicht ausschliessen würde (vgl. hierzu auch Ulrich Meyer, Rechtsprechung des Bundesgerichts zum IVG, Zürich 1997, S. 259). Dabei gilt auch hier der Beweisgrad der überwiegenden Wahrscheinlichkeit (vgl. Urteil des BGer 9C_149/2009 vom 14. Juli 2009 E. 3.2.2).</w:t>
      </w:r>
    </w:p>
    <w:p>
      <w:r>
        <w:rPr>
          <w:b/>
        </w:rPr>
        <w:t>E. 3.3.4</w:t>
      </w:r>
    </w:p>
    <w:p>
      <w:r>
        <w:t>Nach dem Dargelegten wurde im vorliegend zu beurteilenden Rentenrevisionsverfahren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möglich, da sie in der notwendigen Erhebung der bisher ungeklärten Frage nach dem tatsächlichen psychischen Leiden des Beschwerdeführers und die Auswirkungen auf die Arbeits- resp. Leistungsfähigkeit begründet liegt (vgl. BGE 137 V 210 E. 4.4.1.4). Nach Vorliegen der Ergebnisse der zusätzlich erforderlichen Begutachtung - im Rahmen welcher sämtliche bisher verfassten ärztlichen Berichte zu berücksichtigen sind - hat die Vorinstanz - falls erforderlich - einen (bezifferten) Einkommensvergleich durchzuführen und ergänzende Abklärungen hinsichtlich der Verwertbarkeit der Arbeitsfähigkeit in die Wege zu leiten (vgl. Urteile I 462/02 des EVG vom 26 Mai 2003 und 9C_921/2009 des BGer vom 22. Juni 2010).</w:t>
      </w:r>
    </w:p>
    <w:p>
      <w:r>
        <w:rPr>
          <w:b/>
        </w:rPr>
        <w:t>E. 4</w:t>
      </w:r>
    </w:p>
    <w:p>
      <w:r>
        <w:t>Aufgrund der vorstehenden Erwägungen ist zusammenfassend festzustellen, dass die Beschwerde vom 15. November 2010 insoweit gutzuheissen ist, als dass die angefochtene Verfügung vom 21. Oktober 2010 aufzuheben ist und die Akten im Sinne der Erwägungen an die Vorinstanz zum Erlass einer neuen Verfügung zurückzuweisen sind.</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sind ebenfalls keine Verfahrenskosten aufzuerlegen (Art. 63 Abs. 2 VwVG).</w:t>
      </w:r>
    </w:p>
    <w:p>
      <w:r>
        <w:rPr>
          <w:b/>
        </w:rPr>
        <w:t>E. 5.2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1'200.-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