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C-6655/2015 vom 30. Juni 2016</w:t>
      </w:r>
    </w:p>
    <w:p>
      <w:r>
        <w:t>Bundesverwaltungsgericht, 2016-06-30, FR</w:t>
      </w:r>
    </w:p>
    <w:p>
      <w:r>
        <w:rPr>
          <w:b/>
        </w:rPr>
        <w:t xml:space="preserve">Quelle: </w:t>
      </w:r>
      <w:r>
        <w:t>https://mcp.opencaselaw.ch/entscheid/bvger_C-6655_2015</w:t>
      </w:r>
    </w:p>
    <w:p>
      <w:r>
        <w:t>FR: TAF C-6655/2015 du 30 juin 2016</w:t>
      </w:r>
    </w:p>
    <w:p>
      <w:r>
        <w:t>IT: TAF C-6655/2015 del 30 giugno 2016</w:t>
      </w:r>
    </w:p>
    <w:p>
      <w:pPr>
        <w:pStyle w:val="Heading2"/>
      </w:pPr>
      <w:r>
        <w:t>Regeste</w:t>
      </w:r>
    </w:p>
    <w:p>
      <w:r>
        <w:t>Einreiseverbot</w:t>
      </w:r>
    </w:p>
    <w:p>
      <w:pPr>
        <w:pStyle w:val="Heading2"/>
      </w:pPr>
      <w:r>
        <w:t>Erwägungen</w:t>
      </w:r>
    </w:p>
    <w:p>
      <w:r>
        <w:rPr>
          <w:b/>
        </w:rPr>
        <w:t>E. 1.1</w:t>
      </w:r>
    </w:p>
    <w:p>
      <w:r>
        <w:t>Sous réserve des exceptions prévues à l'art. 32 de la loi sur le Tribunal administratif fédéral du 17 juin 2005 (RS 173.32, LTAF), le Tribunal, en vertu de l'art. 31 LTAF, connaît des recours contre les décisions au sens de l'art. 5 de la loi fédérale sur la procédure administrative du 20 décembre 1968 (RS 172.021, PA) prises par les autorités mentionnées à l'art. 33 LTAF. Les décisions d'interdiction d'entrée rendues par le SEM (qui constitue une unité de l'administration fédérale au sens de l'art. 33 let. d LTAF) sont susceptibles de recours au Tribunal (cf. art. 1 al. 2 LTAF).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 cognition. Conformément à la maxime inquisitoire, il constate les faits d'office (cf. art. 12 PA) ;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Dans son arrêt, il prend en considération l'état de fait et de droit existant au moment où il statue (ibid.).</w:t>
      </w:r>
    </w:p>
    <w:p>
      <w:r>
        <w:rPr>
          <w:b/>
        </w:rPr>
        <w:t>E. 3.1</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 Aux termes de l'art. 2 al. 1 de l'ordonnance du 22 octobre 2008 sur l'entrée et l'octroi de visas (OEV, RS 142.204), les conditions d'entrée pour un séjour n'excédant pas 90 jours ou à des fins de transit sont régies par l'art. 6 du règlement (ue) 2016/399 du parlement européen et du conseil du 9 mars 2016 concernant un code de l'Union relatif au régime de franchissement des frontières par les personnes (code frontières Schengen) [JO L 77 du 23 mars 2016 p. 1]. L'art. 6 par. 1 du code frontières Schengen, dont le contenu coïncide largement avec celui de l'art. 5 al. 1 LEtr précité (cf. à ce propos Egli/Meyer in: Caroni/Gächter/Thurnherr, Bundesgesetz über die Aus-länderinnen und Ausländer, Berne 2010, ad art. 5 LEtr, n°14), prescrit que pour un séjour prévu sur le territoire des Etats membres, d'une durée n'excédant pas 90 jours sur toute période de 180 jours, les conditions d'entrée pour les ressortissants de pays tiers sont les suivantes: être en possession d'un document de voyage en cours de validité autorisant son titulaire à franchir la frontière (les critères étant les suivants: la durée de validité du document est supérieure d'au moins trois mois à la date à laquelle le demandeur a prévu de quitter le territoire des Etats membres, sous réserve de dérogations en cas d'urgence dûment justifiée et il a été délivré depuis moins de dix ans; let. a);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ne pas être signalé aux fins de non-admission dans le Système d'information Schengen (SIS; let. d);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 Le paragraphe 2 précise ce qui suit: Pour l'application du paragraphe 1, la date d'entrée est considérée comme le premier jour de séjour sur le territoire des Etats membres et la date de sortie est considérée comme le dernier jour de séjour sur le territoire des Etats membres. Les périodes de séjour autorisées au titre d'un titre de séjour ou d'un visa de long séjour ne sont pas prises en considération pour le calcul de la durée du séjour sur le territoire des Etats membres.</w:t>
      </w:r>
    </w:p>
    <w:p>
      <w:r>
        <w:rPr>
          <w:b/>
        </w:rPr>
        <w:t>E. 3.2</w:t>
      </w:r>
    </w:p>
    <w:p>
      <w:r>
        <w:t>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L'OASA précise, en son art. 9 al. 1,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 4.1 Selon l'art. 67 al. 2 LEtr,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durée plus longue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4.2 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(ci-après : règlement SIS II, JO L 381 du 28 décembre 2006 pp. 4 à 23) entré en vigueur le 9 avril 2013, cette personne - conformément, d'une part, au règlement SIS II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(art. 13 par. 1, en relation avec l'art. 6 par. 1 let. d du code frontières Schengen). Seul l'Etat membre signalant est autorisé à modifier, compléter, rectifier, mettre à jour ou effacer les données qu'il a introduites dans le SIS (art. 34 al. 2 et 3 règlement SIS II). Selon l'art. 25 al. 1 de la Convention d'application de l'accord de Schengen (CAAS, JO L 239 du 22 septembre 2000 pp. 19 à 62), si un titre de séjour est délivré par une Partie Contractante, la Partie Contractante ayant signalé un étranger aux fins de non-admission procède au retrait du signalement, mais peut cependant inscrire cet étranger sur sa liste nationale de signalement. 4.3 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3469, p. 3564 [ci-après : Message LEtr] et art. 80 de l'ordonnance du 24 octobre 2007 relative à l'admission, au séjour et à l'exercice d'une activité lucrative [OASA, RS 142.201]). 4.4 Selon le Message LEtr (cf. p. 3568), 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 4.5 Une interdiction d'entrée peut notamment être prononcée lorsque l'étranger a violé les prescriptions du droit en matière d'étrangers (cf. Message LEtr, p. 3568 et art. 80 OASA). Selon la jurisprudence, le fait d'entrer, de séjourner ou de travailler en Suisse sans autorisation représente une violation grave des prescriptions de police des étrangers (cf. notamment arrêts du TAF C-847/2013 du 21 mars 2014 consid. 5.3.3 avec jurisprudence citée et C-30/2013 du 31 décembre 2013 consid. 4.5). Le non-respect d'un signalement aux fins de non-admission constitue une violation de la sécurité et l'ordre publics selon l'art. 67 LEtr (cf. arrêt du TAF C-2886/2013 du 19 avril 2014). 4.6 L'autorité compétente examine selon sa libre appréciation si une interdiction d'entrée doit être prononcée. Elle doit donc procéder à une pondération méticuleuse de l'ensemble des intérêts en présence et respecter le principe de la proportionnalité (cf. arrêt du TAF C-2850/2013 du 9 mars 2015 consid. 3.4).</w:t>
      </w:r>
    </w:p>
    <w:p>
      <w:r>
        <w:rPr>
          <w:b/>
        </w:rPr>
        <w:t>E. 5.1</w:t>
      </w:r>
    </w:p>
    <w:p>
      <w:r>
        <w:t>En l'espèce, le recourant se prévaut à titre préalable d'une violation de son droit d'être entendu, dès lors qu'il n'aurait pas pu se déterminer sur le prononcé éventuel d'une mesure d'éloignement, que la décision rendue en août 2014 serait insuffisamment motivée et que, de surcroît, sa notification n'aurait pas été régulière. Vu la nature formelle de cette garantie constitutionnelle - dont la violation entraîne en principe l'annulation de la décision attaquée sans égard aux chances de succès du recours sur le fond - ce moyen doit être examiné en premier lieu.</w:t>
      </w:r>
    </w:p>
    <w:p>
      <w:r>
        <w:rPr>
          <w:b/>
        </w:rPr>
        <w:t>E. 5.2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 132 II 485 consid. 3 ; 126 I 7 consid. 2b ; 124 II 132 consid. 2b, et la jurisprudence citée ; ATAF 2010/53 consid. 13.1).</w:t>
      </w:r>
    </w:p>
    <w:p>
      <w:r>
        <w:rPr>
          <w:b/>
        </w:rPr>
        <w:t>E. 5.3</w:t>
      </w:r>
    </w:p>
    <w:p>
      <w:r>
        <w:t>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195 consid. 2.3.2 ; ATF 134 I 140 consid. 5.5).</w:t>
      </w:r>
    </w:p>
    <w:p>
      <w:r>
        <w:rPr>
          <w:b/>
        </w:rPr>
        <w:t>E. 5.4</w:t>
      </w:r>
    </w:p>
    <w:p>
      <w:r>
        <w:t>En l'espèce, force est de constater que l'administration n'a pas violé cette garantie constitutionnelle. En effet, A._______ perd de vue qu'au cours du contrôle dont il a fait l'objet à l'aéroport de Genève-Cointrin en juillet 2014, il a signé un formulaire intitulé "Legal Right to Be Heard in the Ordering of Expulsion and Entry Prohibition Measures" qui indiquait que, vu les faits constatés, les autorités suisses pouvaient examiner l'opportunité de prononcer à son encontre une mesure d'éloignement et lui donnaient à ce titre la possibilité de prendre position. Or, comme l'a relevé le SEM dans sa détermination du 17 décembre 2015, l'intéressé a fait usage de cette possibilité, en déclarant ignorer ne pas avoir le droit de séjourner plus de 90 jours dans l'Espace Schengen, dans un intervalle de 180 jours. Dès lors, on ne saurait déceler dans les faits précités une violation du droit d'être entendu, puisque le recourant a eu l'occasion de se déterminer avant que la décision en cause ne soit rendue, ce qui est conforme à la jurisprudence y relative (cf. consid. 3.2 supra et, parmi d'autres, l'arrêt du TAF C-4489/2013 du 23 janvier 2014 consid. 3.3 et réf. citées). Le recourant a certes fait valoir dans ses déterminations du 4 février 2016 qu'il n'avait que des connaissances rudimentaires de la langue anglaise et que, quand bien même il aurait demandé qu'un avocat, ou du moins un traducteur, soit appelé pour l'assister, il n'avait pas été fait suite à sa requête. Force est de constater cependant que la réponse rédigée par l'intéressé sur le formulaire démontre bien qu'il a parfaitement compris ce qui était attendu de lui. Sa réponse est en effet en adéquation avec la question posée. Par ailleurs, cette manière de procéder de l'autorité inférieure, à savoir la délégation du droit d'être entendu, correspond à la pratique en la matière et a été jugée conforme au droit à maintes reprises par le Tribunal de céans (cf. arrêt du TAF C-4489/2013 précité consid. 3.3 et références citées). Que le droit d'être entendu ait eu lieu en représentation du SEM n'y change rien. En effet, le document signé par le recourant et par lequel il aurait pu s'exprimer a été transmis à l'autorité inférieure. Ce procédé aboutit ainsi au même résultat que si l'autorité inférieure avait octroyé elle-même le droit d'être entendu par écrit à l'intéressé (ibid). C'est également à raison que le SEM a relevé que la décision rendue le 7 août 2014, bien que succinctement motivée contenait l'élément essentiel (soit le dépassement de la durée maximale du séjour autorisé dans l'Espace Schengen sur une durée de 180 jours) fondant le prononcé de la mesure d'éloignement. Enfin, pour ce qui a trait à la notification de la décision, que le recourant conteste avoir jamais reçue, le Tribunal observe que les réflexions contenues dans la prise de position du SEM du 17 décembre 2015 sont pertinentes. Certes, à celles-là le recourant oppose un contact qu'il aurait eu avec Madame la Consule de l'Ambassade de Suisse à Riyad, suite à son interpellation en juillet 2015 en Autriche, laquelle n'aurait cependant trouvé aucune indication quant au fondement du refus d'entrée dont il avait fait l'objet. Le Tribunal n'est pas convaincu par cette objection. Outre qu'elle n'est nullement étayée, il n'est pas possible que l'Ambassade de Suisse à Riyad n'ait pas été en mesure de renseigner le recourant sur la mesure d'éloignement dont il faisait l'objet, dès lors que celle-ci a été enregistrée dans le système d'information central sur la migration (SYMIC), système auquel les représentations consulaires ont accès (cf. Annexe 1 de l'Ordonnance sur le système d'information central sur la migration [Ordonnance SYMIC, RS 142.513], laquelle définit les niveaux d'accès et autorisations de traitement des données pour les unités d'organisation) et que le motif pour lequel cette mesure a été prononcée y figure également. Par ailleurs, le Tribunal relève qu'il est pour le moins surprenant que le recourant ait estimé nécessaire de se faire délivrer un nouveau visa, alors que celui qui figure sur les photocopies de son passeport, faites lors de son interpellation en juillet 2014, était valable jusqu'en 2016. Or, si effectivement le recourant pensait en être quitte avec le paiement de l'amende, en juillet 2014, il n'existe aucun élément objectif au dossier qui expliquerait son besoin de se faire délivrer - en 2015 - un nouveau visa pour circuler au sein de l'Espace Schengen.</w:t>
      </w:r>
    </w:p>
    <w:p>
      <w:r>
        <w:rPr>
          <w:b/>
        </w:rPr>
        <w:t>E. 5.5</w:t>
      </w:r>
    </w:p>
    <w:p>
      <w:r>
        <w:t>Ainsi, aucune violation du droit d'être entendu ni aucun autre vice d'ordre formel ne saurait être constaté en l'espèce.</w:t>
      </w:r>
    </w:p>
    <w:p>
      <w:r>
        <w:rPr>
          <w:b/>
        </w:rPr>
        <w:t>E. 6.1</w:t>
      </w:r>
    </w:p>
    <w:p>
      <w:r>
        <w:t>Comme mentionné ci-dessus (cf. consid. 3.1), l'art. 5 al. 1 LEtr, dont le contenu coïncide avec l'art. 6 par. 1 du code frontières Schengen, stipule que pour entrer en Suisse, tout étranger doit avoir une pièce de légitimation reconnue pour le passage de la frontière et être muni d'un visa si ce dernier est requis. Reprenant le contenu de l'art. 6 par. 1 du code frontières Schengen, l'art. 4 al. 1 OEV stipule que les ressortissants des Etats énumérés à l'annexe I du Règlement (CE) no 539/2001 sont soumis à l'obligation de visa pour l'entrée en vue d'un séjour d'une durée n'excédant pas 90 jours. L'art. 4 al. 2 let. a OEV précise que les titulaires d'un document de voyage valable et reconnu, ainsi que d'un titre de séjour valable délivré par un Etat (Etat Schengen) lié par l'un des accords d'association à Schengen (art. 6, par.1, let. b, et art. 39, par.1, let. a du code frontières Schengen), sont libérés de l'obligation de visa.</w:t>
      </w:r>
    </w:p>
    <w:p>
      <w:r>
        <w:rPr>
          <w:b/>
        </w:rPr>
        <w:t>E. 6.1.1</w:t>
      </w:r>
    </w:p>
    <w:p>
      <w:r>
        <w:t>En l'espèce, en tant que ressortissant égyptien, A._______ est soumis à l'obligation de visa (cf. sur cette problématique, le site internet du SEM: www.sem.admin.ch &gt; Entrée &amp; séjour &gt; Entrée &gt; Directives Visas &gt; VII. Visas &gt; Séjour supérieurs à 90 jours &gt; Directives du SEM en matière d'octroi de visas nationaux &gt; Annexe 1, liste 1: Prescriptions documents de voyage et de visas selon nationalité &gt; Egypte; version du 7 juin 2016; site internet consulté en juin 2016). Lors du contrôle opéré le 8 juillet 2014, à l'aéroport de Genève-Cointrin, il est apparu que le prénommé avait outrepassé la durée autorisée de 90 jours sur une période de 180 jours, ne respectant ainsi pas les prescriptions de l'art. 5 al. 1 let. a LEtr. Les infractions de police des étrangers reprochées au prénommé, " entrée sans le visa requis et sans un passeport national valable", sont ainsi clairement réalisées.</w:t>
      </w:r>
    </w:p>
    <w:p>
      <w:r>
        <w:rPr>
          <w:b/>
        </w:rPr>
        <w:t>E. 6.1.2</w:t>
      </w:r>
    </w:p>
    <w:p>
      <w:r>
        <w:t>Dans son mémoire de recours, le recourant fait valoir qu'en raison de son état de santé défaillant, et qui a nécessité une prise en charge médicale importante au mois de février 2014, il a été empêché de requérir une prolongation de son visa Schengen. En l'état, et sur la base des documents produits au dossier, le Tribunal ne saurait retenir un tel argument. En effet, ainsi que cela ressort du rapport médical du 7 octobre 2015, rédigé par l'université médicale de Vienne en la personne du professeur B._______, l'intéressé a dû être pris en charge en raison d'une tuberculose ouverte. Toutefois, il a quitté l'hôpital au lendemain de son admission, une fois le diagnostic posé, et a été soumis à un traitement ambulatoire, pendant trois semaines. Il ne se trouvait ainsi pas dans l'impossibilité objective de s'enquérir du solde de jours encore actif, sur la durée de 180 jours en cours. En l'espèce, les faits reprochés à A._______ dans la mesure d'éloignement (infractions aux prescriptions de police des étrangers) sont donc établis à satisfaction. Cela étant, ils portent atteinte à la sécurité et à l'ordre publics au sens de l'art. 80 al. 1 let. a OASA et à cet égard, peu importent les raisons de sa venue en Suisse ou de la poursuite de son séjour en ce pays. L'intéressé se devait de respecter la législation en vigueur en Suisse, ce qu'il n'a manifestement pas fait en l'état.</w:t>
      </w:r>
    </w:p>
    <w:p>
      <w:r>
        <w:rPr>
          <w:b/>
        </w:rPr>
        <w:t>E. 6.2</w:t>
      </w:r>
    </w:p>
    <w:p>
      <w:r>
        <w:t>Compte tenu de ce qui précède, force est d'admettre que l'interdiction d'entrée prononcée le 7 août 2014 en application de l'art. 67 LEtr est parfaitement justifiée dans son principe, A._______ ayant bien attenté à la sécurité et à l'ordre publics par son comportement. A cet égard, il sied de rappeler (cf. consid. 4.5 supra) qu'aux termes de l'art. 80 al. 1 let. a OASA, il y a notamment atteinte à la sécurité et à l'ordre publics en cas de violation de prescriptions légales ou de décisions d'autorités. Or, comme évoqué ci-avant et tel est précisément le cas en l'espèce, le fait de pénétrer et de séjourner sur le territoire suisse sans autorisation idoine constitue bien une violation des prescriptions légales, faits pour lesquels il a d'ailleurs été condamné (cf. consid. A.c).</w:t>
      </w:r>
    </w:p>
    <w:p>
      <w:r>
        <w:rPr>
          <w:b/>
        </w:rPr>
        <w:t>E. 7</w:t>
      </w:r>
    </w:p>
    <w:p>
      <w:r>
        <w:t>Il convient encore d'examiner si la mesure d'éloignement prise par le SEM satisfait aux principes de proportionnalité et d'égalité de traitement.</w:t>
      </w:r>
    </w:p>
    <w:p>
      <w:r>
        <w:rPr>
          <w:b/>
        </w:rPr>
        <w:t>E. 7.1</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PIERRE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ATF 135 I 176 consid. 8.1, ATF 133 I 110 consid. 7.1, et la jurisprudence citée; cf. également la doctrine citée ci-dessus).</w:t>
      </w:r>
    </w:p>
    <w:p>
      <w:r>
        <w:rPr>
          <w:b/>
        </w:rPr>
        <w:t>E. 7.2</w:t>
      </w:r>
    </w:p>
    <w:p>
      <w:r>
        <w:t>En l'espèce, l'intéressé a fait l'objet d'une interdiction d'entrée d'une durée de deux ans en application de l'art. 67 al. 2 LEtr. L'interdiction d'entrée prononcée à l'endroit de A._______ est une mesure administrative de contrôle qui tend à le tenir éloigné de la Suisse (ainsi que de l'Espace Schengen) dès lors qu'il a séjourné de manière illégale sur le sol suisse (ainsi que dans l'Espace Schengen), outrepassant la durée maximale autorisée par le visa délivré. Or, compte tenu du nombre élevé de contraventions commises dans le domaine du droit des étrangers, les autorités sont contraintes d'intervenir avec sévérité afin d'assurer la stricte application des prescriptions édictées en la matière. En effet, il est dans l'intérêt de l'Etat à voir respecter l'ordre établi et la législation en vigueur (cf. arrêt du TAF C-4717/2012 du 5 avril 2013 consid. 6.2.1 et les arrêts cités). S'agissant de l'intérêt privé de l'intéressé à voir la mesure supprimée, le Tribunal observe que ce dernier a mis en avant dans son mémoire de recours la nécessité de pouvoir poursuivre le traitement médical mis en place en février-mars 2014 ainsi que son intérêt à pouvoir se mouvoir librement dans l'Espace Schengen, à des fins professionnelles. Il n'apparaît toutefois pas qu'il ne pourrait pas poursuivre son traitement dans son pays de résidence ni, s'agissant de ses obligations professionnelles, que sa présence physique dans l'Espace Schengen serait indispensable à leur réalisation. Aussi, tenant compte de l'ensemble des éléments objectifs et subjectifs de la cause, le Tribunal estime que la durée de deux ans sur laquelle porte l'interdiction d'entrée prise le 7 août 2014 à l'endroit de A._______ s'avère proportionnée en considération des mesures prises dans des cas analogues. Enfin, le Tribunal constate, au vu de l'ensemble du dossier, qu'il n'existe pas de raisons humanitaires ou d'autres motifs importants justifiant l'abstention ou la suspension de la mesure d'éloignement au sens de de l'art. 67 al. 5 LEtr.</w:t>
      </w:r>
    </w:p>
    <w:p>
      <w:r>
        <w:rPr>
          <w:b/>
        </w:rPr>
        <w:t>E. 8.1</w:t>
      </w:r>
    </w:p>
    <w:p>
      <w:r>
        <w:t>Il ressort de ce qui précède que, par sa décision du 7 août 2014, l'autorité intimée n'a ni violé le droit fédéral, ni constaté des faits pertinents de manière inexacte ou incomplète; en outre, cette décision n'est pas inop­portune (art. 49 LEtr). C'est donc de manière conforme au droit que l'auto­rité intimée a prononcé une interdiction d'entrée d'une durée de deux ans à l'endroit de A._______ en application de l'art. 67 LEtr et inscrit cette mesure dans le système d'information Schengen (SIS II). En conséquence, le recours est rejeté. Vu l'issue de la cause, il y a lieu de mettre les frais de procédure à la charge du recourant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