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C-6653/2011 vom 20. August 2012</w:t>
      </w:r>
    </w:p>
    <w:p>
      <w:r>
        <w:t>Bundesverwaltungsgericht, 2012-08-20, IT</w:t>
      </w:r>
    </w:p>
    <w:p>
      <w:r>
        <w:rPr>
          <w:b/>
        </w:rPr>
        <w:t xml:space="preserve">Quelle: </w:t>
      </w:r>
      <w:r>
        <w:t>https://mcp.opencaselaw.ch/entscheid/bvger_C-6653_2011</w:t>
      </w:r>
    </w:p>
    <w:p>
      <w:r>
        <w:t>FR: TAF C-6653/2011 du 20 août 2012</w:t>
      </w:r>
    </w:p>
    <w:p>
      <w:r>
        <w:t>IT: TAF C-6653/2011 del 20 agosto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LTF. In particolare le decisioni in divieto d'entrata in Svizzera rese dall'UFM - il quale costituisce un'unità dell'amministrazione federale come definita all'art. 33 let. d LTAF - possono essere impugnate dinanzi al TAF, il quale, nella fattispecie,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w:t>
      </w:r>
    </w:p>
    <w:p>
      <w:r>
        <w:rPr>
          <w:b/>
        </w:rPr>
        <w:t>E. 3</w:t>
      </w:r>
    </w:p>
    <w:p>
      <w:r>
        <w:t>Poiché nel suo gravame il ricorrente ha motivato l'annullamento della decisione impugnata alla luce di una motivazione carente, occorre dapprima esaminare tale censura di natura formale.</w:t>
      </w:r>
    </w:p>
    <w:p>
      <w:r>
        <w:rPr>
          <w:b/>
        </w:rPr>
        <w:t>E. 3.1</w:t>
      </w:r>
    </w:p>
    <w:p>
      <w:r>
        <w:t>In proposito, la giurisprudenza ha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3.2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consid. 2.6.1 e giurisprudenza ivi citata; sentenza del Tribunale federale 1C_112/2011 del 13 luglio 2011 consid. 2.1.3 e giu­risprudenza ivi citata).</w:t>
      </w:r>
    </w:p>
    <w:p>
      <w:r>
        <w:rPr>
          <w:b/>
        </w:rPr>
        <w:t>E. 3.3</w:t>
      </w:r>
    </w:p>
    <w:p>
      <w:r>
        <w:t>Nella fattispecie, il presente Tribunale non può condividere le allegazioni del ricorrente poiché, seppur succintamente, erano chiari i motivi che hanno portato l'autorità di prime cure all'adozione della decisione qui litigiosa. A titolo abbondanziale si rileva inoltre che, anche volendo condividere le allegazioni del ricorrente, allo stadio attuale della procedura è giustificato - alla luce del­la precitata giurisprudenza - rinunciare ad un rinvio della vertenza all'autorità inferiore in quanto porterebbe ad inutili ritardi, ritenuto che da una parte il ricorrente ne ha compreso il contenuto ed ha potuto di­fendersi correttamente e che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Visto quanto precede, non vi è stata alcuna violazione del di­ritto di essere sentito del ricorrente.</w:t>
      </w:r>
    </w:p>
    <w:p>
      <w:r>
        <w:rPr>
          <w:b/>
        </w:rPr>
        <w:t>E. 4</w:t>
      </w:r>
    </w:p>
    <w:p>
      <w:r>
        <w:t>Il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Tuttavia, qualora un titolo di soggiorno sia stato rilasciato da uno stato membro, l'altro stato membro che ha effettuato la segnalazione procede al ritiro di quest'ultima, avendo però la facoltà di iscrivere lo straniero nel proprio elenco delle persone segnalate (art. 25 CAS). Per motivi umanitari o obblighi di diritto internazionale gli Stati membri possono tuttavia autorizzare l'accesso al proprio territorio ad una persona iscritta nel SIS (art. 13 cpv. 1 in re­lazione con l'art. 5 cpv. 4 lett. c codice frontiere Schengen).</w:t>
      </w:r>
    </w:p>
    <w:p>
      <w:r>
        <w:rPr>
          <w:b/>
        </w:rPr>
        <w:t>E. 5.1</w:t>
      </w:r>
    </w:p>
    <w:p>
      <w:r>
        <w:t>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5.2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5.3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5.4</w:t>
      </w:r>
    </w:p>
    <w:p>
      <w:r>
        <w:t>Inoltre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5.5</w:t>
      </w:r>
    </w:p>
    <w:p>
      <w:r>
        <w:t>Infine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6</w:t>
      </w:r>
    </w:p>
    <w:p>
      <w:r>
        <w:t>Con riferimento alla censura del ricorrente secondo cui la decisione dell'UFM sarebbe contraria all'Accordo di libera circolazione sottoscritto tra la Confederazione Svizzera e la comunità europea e i suoi Stati membri, occorre rilevare che esso si applica unicamente ai cittadini degli Stati membri e non anche a stranieri, nella specie americani, a beneficio di un permesso di residenza in uno Stato membro in casu in Italia, come il ricorrente. In proposito si rileva però che tale permesso di residenza ha avuto quale conseguenza la cancellazione dal SIS (cfr. comunicazione del 21 dicembre 2011 da parte dell'UFM); ciò posto, ne discende dunque che il ricorso su questo punto è divenuto privo di oggetto.</w:t>
      </w:r>
    </w:p>
    <w:p>
      <w:r>
        <w:rPr>
          <w:b/>
        </w:rPr>
        <w:t>E. 7.1</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(art. 11 cpv. 2 LStr). Una regolamentazione speciale è prevista invece per lo straniero che fornisce una prestazione di servizi transfrontaliera, il quale necessita di un permesso se la sua attività lucrativa supera otto giorni per anno civile (art. 14 cpv. 1 OASA).</w:t>
      </w:r>
    </w:p>
    <w:p>
      <w:r>
        <w:rPr>
          <w:b/>
        </w:rPr>
        <w:t>E. 7.2</w:t>
      </w:r>
    </w:p>
    <w:p>
      <w:r>
        <w:t>Dalle risultanze istruttorie emerge che il ricorrente, residente a ... (Italia) ha esercitato, senza la necessaria autorizzazione, l'attività lucrativa di responsabile tecnico e allenatore dei ... presso l'..., in particolare dal mese di settembre 2009 al 10 novembre 2010. Il ricorrente stesso ha riconosciuto i fatti e l'infrazione (cfr. istanza di misure provvisionali, pag. 2: "il ricorrente aveva commesso un'infrazione difficilmente contestabile e che quindi era corretto non interporre opposizione alla condanna penale").</w:t>
      </w:r>
    </w:p>
    <w:p>
      <w:r>
        <w:rPr>
          <w:b/>
        </w:rPr>
        <w:t>E. 7.3</w:t>
      </w:r>
    </w:p>
    <w:p>
      <w:r>
        <w:t>A fronte di quanto sopra menzionato, l'attività quale responsabile del settore tecnico / allenatore dell'... svolta dal ricorrente tra il 1° settembre 2009 e il 10 novembre 2010, è da considerare un'attività lucrativa esercitata senza permesso in violazione dell'art. 14 cpv. 1 OASA. A giusta ragione è dunque seguita l'applicazione delle disposizioni penali in particolare dell'art. 115 cpv. 1 let. c LStr, che punisce colui che esercita senza permesso un'attività lucrativa in Svizzera. Pertanto alla luce di quanto sopra esposto, il ricorrente avendo violato le normative vigenti in materia di diritto degli stranieri, la decisione dell'autorità amministrativa relativa all'emanazione di un divieto di entrata nei suoi confronti è giustificata.</w:t>
      </w:r>
    </w:p>
    <w:p>
      <w:r>
        <w:rPr>
          <w:b/>
        </w:rPr>
        <w:t>E. 8</w:t>
      </w:r>
    </w:p>
    <w:p>
      <w:r>
        <w:t>Essendo la decisione di divieto d'entrata confermata nel suo principio, resta ora da stabilire se la durata della misura di allontanamento adottata dall'UFM, prevista sino all'8 agosto 2014, rispetta il principio di proporzionalità.</w:t>
      </w:r>
    </w:p>
    <w:p>
      <w:r>
        <w:rPr>
          <w:b/>
        </w:rPr>
        <w:t>E. 8.1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8.2</w:t>
      </w:r>
    </w:p>
    <w:p>
      <w:r>
        <w:t>Per quanto riguarda l'interesse privato del ricorrente, dalle risultanze istruttorie emerge che A._______, è a beneficio di un permesso di soggiorno in Italia, dove svolge un'attività di Tour operator per sportivi provenienti dall'estero con destinazione l'Italia e l'Europa. Egli, ad eccezione dell'attività svolta presso l'... in questione, non ha alcun legame con la Svizzera. Inoltre, se è vero che il ricorrente non ha commesso crimini particolarmente efferati, esercitando un'attività lucrativa senza permesso, si deve però costatare che la violazione della LStr è perdurata per un periodo di tempo importante, ossia per 1 anno e 2 mesi; inoltre il ricorrente, avendo già svolto un'analoga attività a beneficio di un permesso quale frontaliere, avrebbe dovuto rendersi conto che tale permesso era necessario anche per l'attività svolta a Chiasso. 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inoltre che il divieto d'entrata della durata di 3 anni appare proporzionato allo scopo di protezione dell'ordine e della sicurezza pubblici ricercati con questa misura.</w:t>
      </w:r>
    </w:p>
    <w:p>
      <w:r>
        <w:rPr>
          <w:b/>
        </w:rPr>
        <w:t>E. 9</w:t>
      </w:r>
    </w:p>
    <w:p>
      <w:r>
        <w:t>A fronte di quanto sopra menzionato, il Tribunale constata che il divieto d'entrata pronunciato dall'UFM è fondato. Ne discende che l'autorità di prime cure, con la decisione del 9 agosto 2011, non ha violato il diritto federale, né abusato del suo potere d'apprezzamento; inoltre l'UFM non ha accertato in modo inesatto o incompleto i fatti giuridicamente rilevanti ed infine la decisione non è inadeguata (art. 49 PA). Il ricorso deve dunque essere respinto.</w:t>
      </w:r>
    </w:p>
    <w:p>
      <w:r>
        <w:rPr>
          <w:b/>
        </w:rPr>
        <w:t>E. 10</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1'036.- e vengono compensate con l'anticipo versato dal ricorrente il 20 aprile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