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C-664/2006 vom 22. August 2008</w:t>
      </w:r>
    </w:p>
    <w:p>
      <w:r>
        <w:t>Bundesverwaltungsgericht, 2008-08-22, IT</w:t>
      </w:r>
    </w:p>
    <w:p>
      <w:r>
        <w:rPr>
          <w:b/>
        </w:rPr>
        <w:t xml:space="preserve">Quelle: </w:t>
      </w:r>
      <w:r>
        <w:t>https://mcp.opencaselaw.ch/entscheid/bvger_C-664_2006</w:t>
      </w:r>
    </w:p>
    <w:p>
      <w:r>
        <w:t>FR: TAF C-664/2006 du 22 août 2008</w:t>
      </w:r>
    </w:p>
    <w:p>
      <w:r>
        <w:t>IT: TAF C-664/2006 del 22 agosto 2008</w:t>
      </w:r>
    </w:p>
    <w:p>
      <w:pPr>
        <w:pStyle w:val="Heading2"/>
      </w:pPr>
      <w:r>
        <w:t>Regeste</w:t>
      </w:r>
    </w:p>
    <w:p>
      <w:r>
        <w:t>Estensione dell'allontanamento cantonale</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(di seguito: TAF o il Tribunale) giudica i ricorsi contro le decisioni ai sensi dell'art. 5 PA prese dalle autorità menzionate agli art. 33 e 34 LTAF. In particolare, le decisioni in materia di estensione di un ordine cantonale di partenza a tutto il territorio della Confederazione rese dall'UFM - il quale costituisce un'unità dell'amministrazione federale come definita all'art. 33 let. d LTAF - possono essere impugnate, conformemente all'art. 20 cpv. 1 vLDDS, dinanzi al TAF, il quale statuisce in via definitiva (cfr. art. 1 cpv. 2 LTAF in relazione con l'art. 83 let. c cifra 4 della legge federale del 17 giugno 2005 sul Tribunale federale [LTF, RS 173.110]). I ricorsi pendenti presso le commissioni federali di ricorso o d'arbitrato o presso i servizi dei ricorsi dei dipartimenti al 1° gennaio 2007 sono trattati dal TAF sulla base del nuovo diritto processuale (art. 53 cpv. 2 LTAF).</w:t>
      </w:r>
    </w:p>
    <w:p>
      <w:r>
        <w:rPr>
          <w:b/>
        </w:rPr>
        <w:t>E. 2</w:t>
      </w:r>
    </w:p>
    <w:p>
      <w:r>
        <w:t>L'entrata in vigore, il 1° gennaio 2008, della legge federale sugli stranieri del 16 dicembre 2005 (LStr, RS 142.20) ha comportato l'abrogazione della vLDDS conformemente all'art. 125 LStr (in relazione con la cifra I del suo allegato). Conformemente all'art. 126 cpv. 1 LStr, alle procedure introdotte prima del 1° gennaio 2008 rimangono tuttavia applicabili le vecchie disposizioni di legge (cfr. ATAF 2008/1 consid. 2). Ciò è il caso nella presente fattispecie; il vecchio diritto (materiale) è quindi applicabile.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Nel suo gravame del 13 settembre 2006, il ricorrente ha affermato che la motivazione della decisione impugnata non è tale da permettere di comprendere quali siano le valutazioni che l'UFM ha posto alla base della propria decisione, di modo che essa non soddisfa i requisiti posti dall'art. 35 PA; l'autorità è dunque venuta meno all'obbligo di motivazione. L'interessato si prevale quindi implicitamente di una violazione del suo diritto di essere sentito garantito dall'art. 29 cpv. 2 della Costituzione federale della Confederazione del 18 aprile 1999 (Cst., RS 101). A._______ ha inoltre rilevato come, nonostante la sua presa di posizione del 30 giugno 2006 fosse stata redatta in italiano, la decisione in oggetto è stata emanata in tedesco, con conseguente violazione del suo diritto ad ottenere una decisione in italiano.</w:t>
      </w:r>
    </w:p>
    <w:p>
      <w:r>
        <w:rPr>
          <w:b/>
        </w:rPr>
        <w:t>E. 4.1.1</w:t>
      </w:r>
    </w:p>
    <w:p>
      <w:r>
        <w:t>Il diritto di essere sentito, la cui garanzia è ancorata nell'art. 29 cpv. 2 Cst, comprende il diritto per la persona interessata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w:t>
      </w:r>
    </w:p>
    <w:p>
      <w:r>
        <w:rPr>
          <w:b/>
        </w:rPr>
        <w:t>E. 4.1.2</w:t>
      </w:r>
    </w:p>
    <w:p>
      <w:r>
        <w:t>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w:t>
      </w:r>
    </w:p>
    <w:p>
      <w:r>
        <w:rPr>
          <w:b/>
        </w:rPr>
        <w:t>E. 4.1.3</w:t>
      </w:r>
    </w:p>
    <w:p>
      <w:r>
        <w:t>Nella fattispecie, la motivazione della decisione impugnata risulta relativamente stringata, ciò non ha tuttavia impedito ad A._______ di comprenderne la portata e di deferirla all'istanza superiore. Nell'ambito del ricorso presentato al Tribunale, egli ha infatti potuto difendersi in maniera corretta. Concretamente il ricorrente è stato in grado di dedurre i fatti su cui la decisione si fonda e le ragioni per cui è stata pronunciata. Infine, anche nella denegata ipotesi in cui la decisione venisse considerata non sufficientemente motivata e unicamente a titolo sussidiario, si rileva che tale carenza sarebbe comunque sanata dall'impugnazione della stessa davanti al Tribunale, il quale dispone di piena cognizione. In occasione del preavviso inoltre, l'autorità inferiore ha avuto modo di esprimersi sul contenuto del ricorso e di completarne le motivazioni, successivamente notificate all'interessato, al quale è stato concesso il diritto di replica di cui ha fatto uso (cfr. DTF 116 V 39/40 consid. 4b). Visto quanto sopra, la censura del ricorrente in ordine all'insufficienza della motivazione, e quindi alla violazione del suo diritto di essere sentito, risulta infondata.</w:t>
      </w:r>
    </w:p>
    <w:p>
      <w:r>
        <w:rPr>
          <w:b/>
        </w:rPr>
        <w:t>E. 4.2</w:t>
      </w:r>
    </w:p>
    <w:p>
      <w:r>
        <w:t>L'art. 33a cpv. 1 PA, il quale ricalca l'art. 37 PA in vigore fino al 31 dicembre 2006, prevede che il procedimento si svolge in una delle quattro lingue ufficiali, di regola nella lingua in cui le parti hanno presentato o presenterebbero le conclusioni. Questa disposizione non conferisce pertanto alcun diritto per una parte a che l'autorità federale di prima istanza emani una decisione nella sua lingua madre, seppur lingua ufficiale, ma unicamente a che la procedura sia condotta in una lingua ufficiale, ciò che è il caso nella fattispecie. A titolo abbondanziale, il Tribunale constata che il ricorrente ha perfettamente compreso i fatti su cui si fonda la decisione impugnata, nonché il suo contenuto e portata, difendendosi in maniera appropriata in sede di ricorso, di modo che l'emanazione di una decisione in tedesco non gli ha arrecato pregiudizio alcuno. Ne consegue che la censura di A._______ in ordine alla lingua delle decisione impugnata e della procedura risulta essere infondata.</w:t>
      </w:r>
    </w:p>
    <w:p>
      <w:r>
        <w:rPr>
          <w:b/>
        </w:rPr>
        <w:t>E. 5.1</w:t>
      </w:r>
    </w:p>
    <w:p>
      <w:r>
        <w:t>Giusta l'art. 12 cpv. 1 vLDDS lo straniero che non è al beneficio di alcun permesso può in ogni tempo essere obbligato a lasciare la Svizzera. Lo straniero è obbligato a lasciare il Cantone alla scadenza del permesso (art. 12 cpv. 2 vLDDS). In virtù dell'art. 12 cpv. 3 prima frase vLDDS lo straniero è inoltre tenuto a partire quando gli sia rifiutata la concessione o la proroga di un permesso. In questi casi, l'autorità gli assegna un termine di partenza. Se l'autorità è cantonale, l'ordine di partire vale solo per il territorio del cantone; se l'autorità è federale, lo straniero deve lasciare la Svizzera (art. 12 cpv. 3 seconda e terza frase LDDS).</w:t>
      </w:r>
    </w:p>
    <w:p>
      <w:r>
        <w:rPr>
          <w:b/>
        </w:rPr>
        <w:t>E. 5.2</w:t>
      </w:r>
    </w:p>
    <w:p>
      <w:r>
        <w:t>L'autorità federale competente può trasformare l'ordine di lasciare un cantone in un ordine di lasciare la Svizzera (art. 12 cpv. 3 quarta frase vLDDS). Si tratta in questi casi di una decisione di estensione, come quella oggetto della presente procedura. L'UFM estenderà, di regola, a tutto il territorio della Confederazione, gli effetti del provvedimento cantonale sempreché, per ragioni speciali, non si voglia dare allo straniero la possibilità di chiedere un permesso in un altro cantone (art. 17 cpv. 2 in fine vODDS).</w:t>
      </w:r>
    </w:p>
    <w:p>
      <w:r>
        <w:rPr>
          <w:b/>
        </w:rPr>
        <w:t>E. 6.1</w:t>
      </w:r>
    </w:p>
    <w:p>
      <w:r>
        <w:t>Nel quadro della presente procedura il ricorrente si prevale del fatto che in data 4 settembre 2006 egli ha inoltrato presso le competenti autorità ticinesi una domanda tendente al rilascio di un permesso di dimora, richiesta non priva di fondamento, di modo che l'autorità federale non avrebbe potuto emanare una decisione di estensione ai sensi dell'art. 17 cpv. 2 vODDS, senza attendere l'esito della suddetta domanda. L'interessato ha poi affermato che lo scritto del 20 ottobre 2006 della SPI è nullo a causa delle gravi violazioni procedurali e della non competenza del servizio che lo ha adottato, di modo che le considerazioni dell'UFM che si basano su di esse sono parimenti e di conseguenza da considerare nulle.</w:t>
      </w:r>
    </w:p>
    <w:p>
      <w:r>
        <w:rPr>
          <w:b/>
        </w:rPr>
        <w:t>E. 6.2</w:t>
      </w:r>
    </w:p>
    <w:p>
      <w:r>
        <w:t>L'estensione a tutto il territorio svizzero di un ordine cantonale di partenza costituisce la regola generale, così come specificato all'art. 17 cpv. 2 in fine vODDS. Questa estensione è infatti considerata come un automatismo (cfr. DTF 110 Ib 201 consid. 1c e Giurisprudenza delle autorità amministrative della Confederazione [GAAC] 63.1 consid. 11c, 62.52 consid. 9 e 57.14 consid. 5 ; Urs Bolz, Rechtsschutz im Ausländer- und Asylrecht, Basilea/Francoforte sul Meno 1990, pag. 62 seg.; cfr. a questo titolo la sentenza del Tribunale amministrativo federale C-8088/2007 del 7 marzo 2008, consid. 3.1 e dottrina ivi citata). In queste condizioni, i motivi che hanno condotto le autorità cantonali di polizia degli stranieri zurighesi, dopo una ponderazione degli interessi pubblici e privati in presenza, a rifiutare il rilascio o il rinnovo di un permesso e a pronunciare l'allontanamento dello straniero dal loro territorio (nella fattispecie in virtù della grave infrazione alla LStup di cui l'interessato si è reso protagonista), non possono essere rimessi in discussione nell'ambito della presente procedura federale di estensione. Pertanto, gli argomenti tendenti a dimostrare che lo straniero ha un interesse preponderante a rimanere in Svizzera (legati, ad esempio, alla durata del suo soggiorno, al suo comportamento individuale e al suo grado d'integrazione socioprofessionale in questo paese, o ai suoi legami personali con quest'ultimo), i quali rilevano della procedura cantonale di permesso e delle relative vie di ricorso, non hanno più ad essere esaminati dalle autorità federali di polizia degli stranieri (riservata l'esistenza di eventuali ostacoli all'esecuzione dell'allontanamento ai sensi dell'art. 14a cpv. 2 a 4 vLDDS). Del resto, in virtù delle normative inerenti la ripartizione delle competenze in materia di polizia degli stranieri tra la Confederazione ed i cantoni, non ricade nelle competenze delle autorità federali di polizia degli stranieri la facoltà di rimettere in causa le decisioni cantonali di rifiuto di permesso e di allontanamento cresciute in giudicato; in altre parole di costringere i cantoni a regolarizzare la presenza di stranieri ai quali hanno definitivamente rifiutato il proseguimento del soggiorno sul loro territorio (cfr. a questo titolo l'art. 18 cpv. 1 vLDDS il quale prevede che la decisione cantonale che rifiuta un permesso è definitiva). La presente procedura di estensione ha dunque quale oggetto esclusivamente quello di determinare se è a giusto titolo che l'UFM ha esteso gli effetti di una siffatta decisione a tutto il territorio della Confederazione in applicazione dell'art. 12 cpv. 3 quarta frase vLDDS (cfr. GAAC precitati). Ne discende che, tenuto conto del fatto che l'estensione a tutto il territorio svizzero della decisione cantonale di allontanamento costituisce la regola generale, l'autorità federale di polizia degli stranieri deve limitarsi ad esaminare, a questo stadio della procedura, se sussistono dei motivi speciali tali da giustificare la rinuncia all'estensione in applicazione dell'art. 17 cpv. 2 in fine vODDS, così da permettere allo straniero di chiedere un permesso in un altro cantone (cfr. DTF 129 II 1 consid. 3.3). Dal momento che la rinuncia all'estensione non ha alcuna incidenza sull'illegalità del soggiorno in Svizzera in quanto tale e che una situazione irregolare non può essere tollerata, si può rinunciare ad un'estensione unicamente allorquando una procedura di autorizzazione è pendente in un cantone terzo e che tale cantone abbia autorizzato lo straniero a soggiornare sul suo territorio per la durata della procedura. In effetti, qualora lo straniero non presenti alcuna domanda di permesso in un cantone terzo o se questa domanda appare sin dall'inizio priva di esito positivo, gli incombe di lasciare la Svizzera (cfr. DTF 129 precitato, ibidem).</w:t>
      </w:r>
    </w:p>
    <w:p>
      <w:r>
        <w:rPr>
          <w:b/>
        </w:rPr>
        <w:t>E. 7.1</w:t>
      </w:r>
    </w:p>
    <w:p>
      <w:r>
        <w:t>Nella fattispecie si constata che con sentenza del 6 giugno 2006 il Migrationsamt del canton Zurigo ha rifiutato di concedere ad A._______ il rinnovo del suo permesso di dimora, decisione poi cresciuta in giudicato a seguito del ritiro da parte della moglie dell'interessato del ricorso interposto avverso la medesima. Il suddetto Ufficio ha quindi pronunciato l'immediato rinvio dell'interessato dal territorio zurighese ad espiazione della pena avvenuta.</w:t>
      </w:r>
    </w:p>
    <w:p>
      <w:r>
        <w:rPr>
          <w:b/>
        </w:rPr>
        <w:t>E. 7.2</w:t>
      </w:r>
    </w:p>
    <w:p>
      <w:r>
        <w:t>Dagli atti di causa si evince che in data 4 settembre 2006, quindi solo dopo circa un mese e mezzo dall'emanazione della decisione contestata, A._______ ha introdotto una procedura tendente all'ottenimento di un permesso presso le autorità ticinesi, prevalendosi di particolari legami personali e professionali in questo cantone. Ora, con scritto del 20 ottobre 2006, la SPI ha comunicato all'interessato la sua intenzione di non rilasciare il permesso B con attività richiesto. Quo alle contestazioni del ricorrente in merito al modus operandi delle autorità ticinesi che ha portato all'emanazione della succitata decisione, si rammenta che non rientra nelle competenze del Tribunale, nel quadro della presente procedura, rimettere in causa le decisioni cantonali in oggetto (cfr. consid. 6.2 supra). A questo proposito si rileva inoltre che egli non ha mai dimostrato di avere formalmente contestato la posizione delle autorità cantonali nelle dovute sedi. In conclusione, non esiste pertanto alcun cantone terzo dichiaratosi disposto a regolare le condizioni di soggiorno del ricorrente sul proprio territorio (cfr. GAAC 62.52 consid. 9). Date le circostanze, il TAF è portato a considerare che non sussistono, in casu, dei motivi speciali suscettibili di giustificare un'eccezione alla regola generale prevista all'art. 17 cpv. 2 in fine vODDS. L'estensione a tutto il territorio della Confederazione dell'ordine cantonale di partenza pronunciato dall'UFM si rivela dunque essere perfettamente fondata.</w:t>
      </w:r>
    </w:p>
    <w:p>
      <w:r>
        <w:rPr>
          <w:b/>
        </w:rPr>
        <w:t>E. 8.1</w:t>
      </w:r>
    </w:p>
    <w:p>
      <w:r>
        <w:t>Nella misura in cui A._______ non ottiene il rinnovo del permesso di dimora, è a ragione che l'autorità di prime cure ha pronunciato il suo rinvio dalla Svizzera giusta l'art. 12 vLDDS. Occorre tuttavia ancora analizzare se l'esecuzione dell'allontanamento è possibile, ammissibile e ragionevolmente esigibile ai sensi dell'art. 14a cpv. 2 a 4 vLDDS. L'esecuzione non è possibile se lo straniero non può partire o essere allontanato né verso il Paese d'origine o di provenienza, né verso un Paese terzo. L'esecuzione non è ammissibile se la prosecuzione del viaggio dello straniero verso il Paese d'origine o di provenienza o in uno Stato terzo è contrario a impegni di diritto internazionale. L'esecuzione non è ragionevolmente esigibile in particolare se implica per lo straniero un'esposizione concreta a pericolo (art. 14a cpv. 2 a 4 vLDDS).</w:t>
      </w:r>
    </w:p>
    <w:p>
      <w:r>
        <w:rPr>
          <w:b/>
        </w:rPr>
        <w:t>E. 8.2</w:t>
      </w:r>
    </w:p>
    <w:p>
      <w:r>
        <w:t>Il ricorrente possiede i documenti necessari o gode per lo meno della possibilità di intraprendere presso la rappresentanza del suo paese d'origine i passi volti ad ottenere i documenti di viaggio che gli permettono di fare ritorno in Kosovo. Ne discende che nessun ostacolo insormontabile di ordine tecnico si opponeva all'esecuzione del suo rinvio (art. 14a cpv. 2 vLDDS).</w:t>
      </w:r>
    </w:p>
    <w:p>
      <w:r>
        <w:rPr>
          <w:b/>
        </w:rPr>
        <w:t>E. 8.3</w:t>
      </w:r>
    </w:p>
    <w:p>
      <w:r>
        <w:t>Per quanto attiene l'ammissibilità dell'esecuzione di tale rinvio, il ricorrente non ha sostenuto, né tanto meno dimostrato, che esso sarebbe stato contrario ad impegni di diritto internazionale assunti dalla Svizzera. Non è infatti per nulla accertato che l'interessato potrebbe subire una persecuzione da parte delle autorità del suo paese e che rischierebbe quindi di essere personalmente e concretamente sottoposto a torture o a pene o trattamento inumani o degradanti in violazione dell'art. 3 della Convenzione del 4 novembre 1950 per la salvaguardia dei diritti dell'uomo e delle libertà fondamentali (CEDU, RS 0.101). Ne consegue che l'esecuzione del rinvio del ricorrente era ammissibile ai sensi dell'art. 14a cpv. 3 vLDDS (cfr. Giurisprudenza delle autorità amministrative della Confederazione [GAAC] 60.97, 57.56, 56.50; Walter Kälin, Grundriss des Asylverfahrens, 1990, pag. 245 e riferimenti ivi citati).</w:t>
      </w:r>
    </w:p>
    <w:p>
      <w:r>
        <w:rPr>
          <w:b/>
        </w:rPr>
        <w:t>E. 8.4</w:t>
      </w:r>
    </w:p>
    <w:p>
      <w:r>
        <w:t>Infine, il ricorrente non ha sostenuto, né tanto meno dimostrato, che un ritorno nel suo paese d'origine avrebbe implicato per lui un'esposizione concreta a pericolo. Nessun ostacolo insormontabile ostava quindi all'esecuzione del rinvio, di modo che esso deve essere considerato ragionevolmente esigibile ai sensi dell'art. 14a cpv. 4 vLDDS. Alla luce di quanto esposto, il Tribunale ritiene pertanto che l'esecuzione del rinvio di A._______ era possibile, ammissibile e ragionevolmente esigibile ai sensi dell'art. 14 a cpv. 2-4 vLDDS.</w:t>
      </w:r>
    </w:p>
    <w:p>
      <w:r>
        <w:rPr>
          <w:b/>
        </w:rPr>
        <w:t>E. 9</w:t>
      </w:r>
    </w:p>
    <w:p>
      <w:r>
        <w:t>Ne discende che l'UFM con decisione del 20 luglio 2006 non ha violato il diritto federale, né abusato del suo potere d'apprezzamento; l'autorità di prime cure non ha accertato in modo inesatto o incompleto i fatti giuridicamente rilevanti ed inoltre la decisione non è inadeguata (art. 49 PA). Per questi motivi il ricorso va respinto.</w:t>
      </w:r>
    </w:p>
    <w:p>
      <w:r>
        <w:rPr>
          <w:b/>
        </w:rPr>
        <w:t>E. 10</w:t>
      </w:r>
    </w:p>
    <w:p>
      <w:r>
        <w:t>Visto l'esito della procedura, le spese processuali vanno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