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C-6646/2019 vom 21. Februar 2020</w:t>
      </w:r>
    </w:p>
    <w:p>
      <w:r>
        <w:t>Bundesverwaltungsgericht, 2020-02-21, FR</w:t>
      </w:r>
    </w:p>
    <w:p>
      <w:r>
        <w:rPr>
          <w:b/>
        </w:rPr>
        <w:t xml:space="preserve">Quelle: </w:t>
      </w:r>
      <w:r>
        <w:t>https://mcp.opencaselaw.ch/entscheid/bvger_C-6646_2019</w:t>
      </w:r>
    </w:p>
    <w:p>
      <w:r>
        <w:t>FR: TAF C-6646/2019 du 21 février 2020</w:t>
      </w:r>
    </w:p>
    <w:p>
      <w:r>
        <w:t>IT: TAF C-6646/2019 del 21 febbraio 2020</w:t>
      </w:r>
    </w:p>
    <w:p>
      <w:pPr>
        <w:pStyle w:val="Heading2"/>
      </w:pPr>
      <w:r>
        <w:t>Regeste</w:t>
      </w:r>
    </w:p>
    <w:p>
      <w:r>
        <w:t>Cotisations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citées).</w:t>
      </w:r>
    </w:p>
    <w:p>
      <w:r>
        <w:rPr>
          <w:b/>
        </w:rPr>
        <w:t>E. 1.2</w:t>
      </w:r>
    </w:p>
    <w:p>
      <w:r>
        <w:t>Sous réserve des exceptions, non réalisées en l'espèce, prévues à l'art. 32 LTAF, le Tribunal connaît, selon l'art. 31 LTAF, des recours contre les décisions au sens de l'art. 5 PA,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1.4</w:t>
      </w:r>
    </w:p>
    <w:p>
      <w:r>
        <w:t>Aux termes de l'art. 52 al. 1 PA, le mémoire de recours indique les conclusions, les motifs et moyens de preuve et porte la signature du recourant ou de son mandataire. L'art. 52 al. 2 PA prévoit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Selon la jurisprudence, lorsque le recours est interjeté par un particulier qui ne dispose pas de formation juridique, il convient de ne pas se montrer trop strict dans l'appréciation des conditions formelles posées à l'art. 52 al. 1 PA, néanmoins l'intéressé qui dépose un recours est tenu d'y apporter un soin minimal (arrêt du TF 2C_439/2011 du 4 novembre 2011 consid. 2.1 et références citées). En l'occurrence, la CSC reproche au recourant de ne pas avoir suffisamment motivé son recours et conclut par conséquent à son irrecevabilité. En particulier, elle fait valoir que, dans son recours, l'intéressé ne se déterminait qu'au fond du litige et exclusivement sur la question de sa durée de cotisations, mais que ce dernier n'exposait pas en quoi la décision sur opposition de la CSC « ne répondait pas aux prescriptions légales en vigueur » (cf. réponse de la CSC du 4 février 2020 ; TAF pce 5). L'autorité inférieure semble faire référence à une jurisprudence du Tribunal fédéral selon laquelle l'exigence de motivation fait défaut lorsqu'un recours ne comporte que des arguments sur le fond alors que la décision attaquée ne traite que d'une question de procédure (cf. ATF 123 V 335 ; arrêt du TAF C-3465/2019 du 20 janvier 2020). Toutefois, la jurisprudence invoquée par la CSC n'est pas applicable au cas d'espèce car celui-ci ne s'inscrit pas dans le même contexte de faits. Ainsi, même si le présent recours, qui a été interjeté contre la décision sur opposition de la CSC du 19 novembre 2019 déclarant irrecevable l'opposition du recourant en raison de sa tardiveté, comporte principalement des arguments sur le fond (demande de rectification du compte individuel et demande de recalcul de la rente AVS), il contient également une motivation suffisante, formulée par un assuré non représenté par un avocat, ayant trait à la question de la tardiveté du recours (« En date du 4 juillet 2019, je reçois la décision de prestation mensuelle [...] accompagnée de documents retraçant ma carrière auxquels je l'avoue je n'ai pas attaché l'importance qu'il aurait fallu (i) puisque le montant était à peine supérieur à l'estimation de novembre 2018, (ii) comme il faisait suite à mes envois de justificatifs divers et variés, et surtout de mes enveloppes/bulletins de salaire pour l'année 1971 du 5 juillet au 31 décembre 1971 et (iii) qu'enfin, j'ai fait totale confiance à l'institution. C'est en cherchant un renseignement que je constate avec stupéfaction que ma période d'activité 1971 n'est comptabilisée que pour le seul mois de juillet [...]. Fort de ce constat, mais un peu tard pour un recours gracieux qui aurait dû être interjeté dans les 30 jours de la notification, soit le 4 septembre 2019, j'adresse un courrier le 24 octobre 2019 à la Caisse Suisse de Compensation de Genève, qui me répond sur le fond par lettre recommandée du 19 novembre reçue le 23 en me notifiant l'irrecevabilité de ma requête et m'informant que j'ai 30 jours pour présenter un recours auprès du Tribunal administratif fédéral »). Compte tenu de ce qui précède, il s'ensuit que le recours a été déposé dans les formes requises par la loi (art. 52 PA) et que le grief y relatif de la CSC doit être rejeté.</w:t>
      </w:r>
    </w:p>
    <w:p>
      <w:r>
        <w:rPr>
          <w:b/>
        </w:rPr>
        <w:t>E. 1.5</w:t>
      </w:r>
    </w:p>
    <w:p>
      <w:r>
        <w:t>Par ailleurs, le Tribunal administratif fédéral ne peut statuer que sur les prétentions ou les rapports juridiques sur lesquels l'autorité inférieure s'est déjà prononcée ou aurait dû le faire (arrêt du TF 2C_612/2007 du 7 avril 2008 consid. 4.1 ; MOSER/BEUSCH/KNEUBÜHLER, Prozessieren vor dem Bundesverwaltungsgericht, 2013, p. 27 ss n° 2.1 ss et p. 120 n° 2.213). Ainsi, l'objet du litige est délimité par la décision attaquée et le recours est irrecevable dans la mesure où des moyens de droit excédents l'objet du litige sont invoqués (ATF 125 V 413 consid. 1a ; 117 V 121 consid. 1 ; 116 V 265 consid. 2a ; arrêts du TF 8C_498/2013 du 23 octobre 2013 consid. 1 et 8C_716/2011 du 5 janvier 2012 consid. 1).</w:t>
      </w:r>
    </w:p>
    <w:p>
      <w:r>
        <w:rPr>
          <w:b/>
        </w:rPr>
        <w:t>E. 1.6</w:t>
      </w:r>
    </w:p>
    <w:p>
      <w:r>
        <w:t>Déposé en temps utile (art. 20, 21, 22a, 50 PA et art. 60 LPGA) et auprès de l'autorité judiciaire compétente (art. 33 let. d LTAF et 85bis al. 1 LAVS) par un administré directement touché par la décision attaquée (art. 48 PA et 59 LPGA), le recours est recevable quant à la forme, dans la mesure où le recourant requiert l'annulation de la décision sur opposition déclarant irrecevable son opposition pour cause de tardiveté. Il sied de préciser qu'en revanche, il n'appartient pas au Tribunal administratif fédéral de statuer sur la durée de cotisations admise à la base de la rente AVS. Ainsi, dans la mesure où le recourant conclut à la rectification de son compte individuel, à savoir à la prise en compte de 5 mois supplémentaires pour l'année 1971, au recalcul de sa rente AVS en tenant compte d'une échelle de rente 44 au lieu de l'échelle de rente 43 et à l'octroi d'une rente AVS supérieure à CHF 2'224.- par mois à compter du 1er août 2019, le recours est irrecevable.</w:t>
      </w:r>
    </w:p>
    <w:p>
      <w:r>
        <w:rPr>
          <w:b/>
        </w:rPr>
        <w:t>E. 2</w:t>
      </w:r>
    </w:p>
    <w:p>
      <w:r>
        <w:t>Concernant le droit matériel applicable, l'affaire présente un aspect transfrontalier dans la mesure où le recourant français, vivant en France - Etat membre de l'Union européenne (UE) - a été assuré en Suisse pendant plusieurs années (cf. CSC pces 4 ; 5 ; 35).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1er al. 1er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w:t>
      </w:r>
    </w:p>
    <w:p>
      <w:r>
        <w:rPr>
          <w:b/>
        </w:rPr>
        <w:t>E. 3</w:t>
      </w:r>
    </w:p>
    <w:p>
      <w:r>
        <w:t>En l'espèce, le litige porte uniquement sur la question de savoir si l'autorité inférieure a agi conformément au droit en déclarant irrecevable l'opposition de l'assuré contre la décision de la CSC du 1er juillet 2019 pour cause de tardiveté.</w:t>
      </w:r>
    </w:p>
    <w:p>
      <w:r>
        <w:rPr>
          <w:b/>
        </w:rPr>
        <w:t>E. 4.1</w:t>
      </w:r>
    </w:p>
    <w:p>
      <w:r>
        <w:t>Aux termes de l'art. 52 al. 1 LPGA, les décisions peuvent être attaquées dans les 30 jours par voie d'opposition auprès de l'assureur qui les a rendues, à l'exception des décisions d'ordonnancement de la procédure. Ledit délai de 30 jours n'est pas prolongeable (art. 40 al. 1 LPGA), il commence à courir le lendemain de sa communication (art. 38 al. 1 LPGA) et il ne court pas du 15 juillet au 15 août inclusivement (art. 38 al. 4 let. b LPGA).</w:t>
      </w:r>
    </w:p>
    <w:p>
      <w:r>
        <w:rPr>
          <w:b/>
        </w:rPr>
        <w:t>E. 4.2</w:t>
      </w:r>
    </w:p>
    <w:p>
      <w:r>
        <w:t>En l'occurrence, il est incontesté que le recourant a réceptionné la décision de la CSC du 1er juillet 2019 en date du 4 juillet 2019 (cf. CSC pce 38 p. 1 et 15 ; TAF pce 1). Ainsi, le délai pour former opposition contre ladite décision a commencé à courir le 5 juillet 2019, il a été suspendu du 15 juillet au 15 août inclusivement et il est arrivé à échéance le mercredi, 4 septembre 2019.</w:t>
      </w:r>
    </w:p>
    <w:p>
      <w:r>
        <w:rPr>
          <w:b/>
        </w:rPr>
        <w:t>E. 4.3</w:t>
      </w:r>
    </w:p>
    <w:p>
      <w:r>
        <w:t>Ainsi, comme l'admet l'intéressé lui-même (cf. CSC pce 38 p. 1), son opposition, remise à la Poste française le 24 octobre 2019 (timbre postal ; cf. CSC pce 38 p. 24) apparaît donc être tardive et partant, irrecevable. Par conséquent, la décision de la CSC du 1er juillet 2019 est entrée en force.</w:t>
      </w:r>
    </w:p>
    <w:p>
      <w:r>
        <w:rPr>
          <w:b/>
        </w:rPr>
        <w:t>E. 5</w:t>
      </w:r>
    </w:p>
    <w:p>
      <w:r>
        <w:t>Au demeurant, dans son opposition datée du 24 octobre 2019, le recourant n'a pas demandé la restitution du délai d'opposition au sens de l'art. 41 LPGA. Il s'ensuit que l'autorité inférieure ne s'est pas - et ne devait pas - se prononcer sur cette question dans la décision sur opposition dont est recours.</w:t>
      </w:r>
    </w:p>
    <w:p>
      <w:r>
        <w:rPr>
          <w:b/>
        </w:rPr>
        <w:t>E. 6</w:t>
      </w:r>
    </w:p>
    <w:p>
      <w:r>
        <w:t>Au vu des considérants qui précèdent, il apparaît que c'est à bon droit que l'autorité inférieure a déclaré irrecevable l'opposition de l'assuré du 24 octobre 2019 pour cause de tardiveté. Partant, la décision sur opposition litigieuse doit être confirmée et le recours rejeté dans la mesure où il est recevable. Celui-ci étant manifestement infondé, il convient de statuer sur le présent litige dans une procédure à juge unique (art. 85bis al. 3 LAVS en relation avec l'art. 23 al. 2 LTAF).</w:t>
      </w:r>
    </w:p>
    <w:p>
      <w:r>
        <w:rPr>
          <w:b/>
        </w:rPr>
        <w:t>E. 7</w:t>
      </w:r>
    </w:p>
    <w:p>
      <w:r>
        <w:t>Au demeurant, le recourant alléguant que l'autorité inférieure n'a pas tenu compte de faits importants prouvés, les écrits de l'intéressé des 24 octobre et 12 décembre 2019 semblent constituer une demande de révision, respectivement de reconsidération de la décision de la CSC du 1er juillet 2019. Au vu de l'art. 8 al. 1 PA, il convient de transmettre ces documents ainsi que les annexes à l'autorité inférieure pour suite utile.</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