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C-6644/2009 vom 23. Juni 2011</w:t>
      </w:r>
    </w:p>
    <w:p>
      <w:r>
        <w:t>Bundesverwaltungsgericht, 2011-06-23, FR</w:t>
      </w:r>
    </w:p>
    <w:p>
      <w:r>
        <w:rPr>
          <w:b/>
        </w:rPr>
        <w:t xml:space="preserve">Quelle: </w:t>
      </w:r>
      <w:r>
        <w:t>https://mcp.opencaselaw.ch/entscheid/bvger_C-6644_2009</w:t>
      </w:r>
    </w:p>
    <w:p>
      <w:r>
        <w:t>FR: TAF C-6644/2009 du 23 juin 2011</w:t>
      </w:r>
    </w:p>
    <w:p>
      <w:r>
        <w:t>IT: TAF C-6644/2009 del 23 giugno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 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w:t>
      </w:r>
    </w:p>
    <w:p>
      <w:r>
        <w:rPr>
          <w:b/>
        </w:rPr>
        <w:t>E. 1.4</w:t>
      </w:r>
    </w:p>
    <w:p>
      <w:r>
        <w:t>En l'espèce, le recours est recevable, vu qu'il a été déposé en temps utile et dans les formes requises par la loi (art. 60 al. 1 LPGA et 52 PA) et que l'avance de frais de procédure a été dûment acquittée.</w:t>
      </w:r>
    </w:p>
    <w:p>
      <w:r>
        <w:rPr>
          <w:b/>
        </w:rPr>
        <w:t>E. 2.1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w:t>
      </w:r>
    </w:p>
    <w:p>
      <w:r>
        <w:rPr>
          <w:b/>
        </w:rPr>
        <w:t>E. 4</w:t>
      </w:r>
    </w:p>
    <w:p>
      <w:r>
        <w:t>Le recourant a présenté sa demande de rente le 30 mai 2005.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30 mai 2004 (12 mois avant le dépôt de la demande) ou si le droit à une rente était né entre cette date et le 16 septembre 2009, date de la décision attaquée marquant la limite dans le temps du pouvoir d'examen de l'autorité de recours (ATF 130 V 445 consid. 1.2 et 1.2.1). En outre, selon la jurisprudence, en cas de renvoi de la cause à l'autorité inférieure pour complément d'instruction et recours sur la nouvelle décision, le pouvoir d'examen du Tribunal s'étend jusqu'à la dernière décision matérielle.</w:t>
      </w:r>
    </w:p>
    <w:p>
      <w:r>
        <w:rPr>
          <w:b/>
        </w:rPr>
        <w:t>E. 5</w:t>
      </w:r>
    </w:p>
    <w:p>
      <w:r>
        <w:t>Tout requérant doit remplir cumulativement les conditions suivantes pour avoir droit à une rente de l'assurance-invalidité suisse: - être invalide au sens de la LPGA/LAI et - avoir versé des cotisations à l'AVS/AI suisse durant une année au moins (art. 36 LAI dans sa teneur en vigueur jusqu'au 31 décembre 2007). À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l'occurrence, le recourant a versé des cotisations à l'AVS/AI, de toute façon, pendant plus de trois années au total (pce 1)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 au moins, à une demi-rente s'il est invalide à 50 %, à trois-quarts de rente s'il est invalide à 60 %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(29 al. 4 à partir du 1er janvier 2008) - selon laquelle les rentes correspondant à un taux d'invalidité inférieur à 50 % ne sont versées qu'aux assurés qui ont leur domicile et leur résidence habituelle en Suisse (art. 13 LPGA) - n'est plus applicable lorsqu'un assuré est un ressortissant suisse ou de l'UE et y réside.</w:t>
      </w:r>
    </w:p>
    <w:p>
      <w:r>
        <w:rPr>
          <w:b/>
        </w:rPr>
        <w:t>E. 6.3</w:t>
      </w:r>
    </w:p>
    <w:p>
      <w:r>
        <w:t>Conformément à l'art. 29 al. 1 LAI, le droit à une rente naît dès que l'assuré présente une incapacité durable de 40 % au moins (lettre a) ou dès qu'il a présenté en moyenne, une incapacité de travail de 40 %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7.1</w:t>
      </w:r>
    </w:p>
    <w:p>
      <w:r>
        <w:t>Le recourant a travaillé en Suisse en qualité de cuisinier, de chef de salle, de concierge, de plâtrier et dans la construction jusqu'à fin 1996. De retour dans son pays d'origine, il a exercé la profession de maçon, 40 heures par semaine pour un salaire mensuel de 800.--. Il a travaillé jusqu'au 30 juin 2004, date à laquelle il a cessé toute activité pour maladie (pces 8 et 9). Jusqu'à cette date, le Tribunal peut donc conclure que le recourant n'a subi aucune invalidité au sens de la législation suisse.</w:t>
      </w:r>
    </w:p>
    <w:p>
      <w:r>
        <w:rPr>
          <w:b/>
        </w:rPr>
        <w:t>E. 7.2</w:t>
      </w:r>
    </w:p>
    <w:p>
      <w:r>
        <w:t>Pour la période successive, en absence de données économiques, il faut se fonder sur la documentation médicale. En effet,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9.1</w:t>
      </w:r>
    </w:p>
    <w:p>
      <w:r>
        <w:t>Il ressort des actes de la cause, notamment des prises de position des médecins de l'OAIE des 21 mars et 14 août 2007 ainsi que du 22 janvier 2008, que le recourant souffre d'une hernie discale cervicale en C5-C6, de polyarthrose, de troubles dégénératifs de la colonne vertébrale, de cardiopathie ischémique avec pontage aorto-coronarien (le 6 juillet 2004), d'hypertension artérielle, de dyslipidémie et d'une récidive de hernie discale L4/L5 à gauche (juillet 2007).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déterminante pour le début du droit à la rente.</w:t>
      </w:r>
    </w:p>
    <w:p>
      <w:r>
        <w:rPr>
          <w:b/>
        </w:rPr>
        <w:t>E. 9.2</w:t>
      </w:r>
    </w:p>
    <w:p>
      <w:r>
        <w:t>En ce qui concerne les conséquences des affections diagnostiquées sur la capacité de travail, les deux médecins de l'ISS dans les rapports du 22 novembre 2005 et du 21 février 2009 retiennent une incapacité de travail totale pour la dernière activité exercée. De son côté, le premier médecin de l'OAIE a considéré que le recourant présentait une pathologie essentiellement ostéoarticulaire, sur laquelle s'est greffée une cardiopathie ischémique pour laquelle il a bénéficié avec succès d'une chirurgie de revascularisation. Il a fixé la capacité de travail à 50 % dans l'activité habituelle et une pleine capacité de travail dans une activité de substitution. Successivement au recours et à la production de nouveaux documents, le Dr J._______, médecin de l'OAIE, a constaté que les douleurs s'étaient exacerbées depuis juillet 2007 et a fait état d'une récidive de hernie discale L4-L5 à gauche. Pour ce médecin, il s'agissait d'une aggravation dont la durée devait être établie par des examens orthopédiques complémentaires et des rapports hospitaliers postérieurs à juillet 2007. Suite au renvoi de la cause et au complément d'instruction, le Dr J._______ a toutefois relevé que l'imagerie médicale ne confirmait pas l'assertion du Dr I._______ selon laquelle une hernie discale volumineuse se trouvait en L4-L5. Il a donc précisé que la détérioration clinique n'était pas crédible et que son précédent avis était basé sur une documentation incomplète voire trompeuse. Il a ainsi indiqué que le degré d'invalidité n'avait subi aucun changement. Finalement, le médecin de l'OAIE, se prononçant sur la documentation jointe au second recours, a précisé que le rapport du Dr H._______ niait explicitement l'existence de symptômes radiculaires et excluait une indication chirurgicale et que les rapports radiographiques du Dr N._______ ne faisaient qu'énumérer des informations déjà connues: telles que l'existence d'altérations dégénératives à la colonne cervicale sans hernie discale et, au niveau lombaire, des altérations dégénératives aux vertèbres et aux disques, dont la description est superposable aux données précédentes, ainsi que le status après laminectomie et la présence d'anciens fragments de disques, tandis que la radiographie du bassin met en évidence de légers signes de coxarthrose sans aucune corrélation clinique. Au vu de l'ensemble du dossier médical, il a ainsi confirmé son précédent avis.</w:t>
      </w:r>
    </w:p>
    <w:p>
      <w:r>
        <w:rPr>
          <w:b/>
        </w:rPr>
        <w:t>E. 9.3</w:t>
      </w:r>
    </w:p>
    <w:p>
      <w:r>
        <w:t>Au vu de ce qui précède, le Tribunal considère qu'aucun élément objectivement vérifiable n'a été ignoré par le Dr J._______, médecin de l'OAIE, qui, bien au contraire, à de suite pris en compte le rapport du Dr I._______ lors de la première procédure de recours. L'aggravation qui avait été révélée par ce médecin a finalement été invalidée par les résultats de l'imagerie médicale. Ainsi, on peut retenir que l'état de santé du recourant ne s'est pas modifié, aucune pièce au dossier ne mettant en cause l'appréciation des médecins de l'OAIE qui le considèrent apte pour une activité de substitution. Dès lors, la Cours de céans peut conclure que le recourant présente une incapacité de travail de 50 % dans son activité habituelle de maçon et une pleine capacité de travail dans une activité de substitution dès le 6 juillet 2004.</w:t>
      </w:r>
    </w:p>
    <w:p>
      <w:r>
        <w:rPr>
          <w:b/>
        </w:rPr>
        <w:t>E. 10</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 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pour cent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11.1</w:t>
      </w:r>
    </w:p>
    <w:p>
      <w:r>
        <w:t>Il faut donc procéder à une évaluation de l'invalidité, selon la méthode générale, par une comparaison de revenus de 2005. En effet, selon la jurisprudence, les salaires avant et après invalidité doivent être indexés jusqu'à la date de la survenance du droit éventuel à la rente, c'est-à-dire lorsque les conditions de santé peuvent être considérées comme stabilisées (ATF 128 V 174 et 129 V 222). Or, le recourant présente une incapacité de travail de 50 %, dans son ancienne activité et une capacité de travail de 100 % pour cent pour les activités de substitution dès le 6 juillet 2004 de sorte que le droit à la rente aurait pu naître au plus tôt en 2005.</w:t>
      </w:r>
    </w:p>
    <w:p>
      <w:r>
        <w:rPr>
          <w:b/>
        </w:rPr>
        <w:t>E. 11.2</w:t>
      </w:r>
    </w:p>
    <w:p>
      <w:r>
        <w:t>En l'espèce, sur la base des données de l'enquête suisse des salaires publiées par l'OFS pour 2004 (Tableaux TA1), le salaire mensuel moyen d'un salarié dans la branche de la construction avec des connaissances spécialisées était de Fr. 5'358.--. Après adaptation au nombre d'heures effectuées en 2005 dans la construction, à savoir 41.7 heures (par rapport aux 40 heures de base, La Vie économique 9-2010, B 9.2) et indexé à 2005 (1.1 %, La Vie économique, 9-2010, B 10.2), on obtient un revenu mensuel sans invalidité de Fr. 5'647.--. Le revenu d'invalide, tiré des données statistiques, doit tenir compte d'un large éventail d'activités légères existant sur le marché du travail. Un nombre suffisant d'entre elles permet d'éviter les efforts physiques intenses. Ces activités sont donc adaptées au handicap du recourant. De plus, la majeure partie de ces postes ne nécessite pas de formation particulière autre qu'une mise à jour initiale. Les activités de substitution proposées par le service médical de l'OAIE, exigibles à compter du 6 juillet 2004, sont des activités simples et répétitives que l'on trouve dans le secteur des services collectifs et personnels (dont le revenu moyen en 2004 était de Fr. 4'181.--) et dans le commerce en gros (Fr. 4'672.--), soit en moyenne Fr. 4'426.--. Ce montant doit ensuite être adapté à l'horaire usuel dans le secteur tertiaire en 2005 de 41.7 heures (par rapport aux 40 heures de base, la Vie économique 9-2010, B. 9.2) et indexé à 2005 (1.0 %, La Vie économique, 9-2010, B 10.2), soit Fr. 4'660.--. Le revenu mensuel se monte, ainsi, avec un abattement de 10 % pour tenir compte des circonstances personnelles de l'assuré, que le Tribunal n'a pas de raison de mettre en discussion, à Fr. 4'194.--. En procédant à la comparaison des deux salaires, selon la formule [(5'647 - 4'194) x 100 : 5'647], l'on obtient une perte de gain de 25.73 %, soit 26 % correspondant à une capacité de travail de 100 % dans une activité de substitution, valeur qui n'ouvre pas de droit à une rente d'invalidité suisse.</w:t>
      </w:r>
    </w:p>
    <w:p>
      <w:r>
        <w:rPr>
          <w:b/>
        </w:rPr>
        <w:t>E. 12</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 Par voie de conséquence, le recours du 21 octobre 2009 doit être rejeté et la décision du 16 septembre 2009 confirmée.</w:t>
      </w:r>
    </w:p>
    <w:p>
      <w:r>
        <w:rPr>
          <w:b/>
        </w:rPr>
        <w:t>E. 13.1</w:t>
      </w:r>
    </w:p>
    <w:p>
      <w:r>
        <w:t>Vu l'issue de la procédure, les frais de celle-ci, fixés à Fr. 300.--, sont mis à la charge du recourant (art. 63 al. 1 PA, applicable par le truchement de l'art. 37 LTAF). Ils sont compensés par l'avance de frais dont il s'est acquitté au cours de l'instruction.</w:t>
      </w:r>
    </w:p>
    <w:p>
      <w:r>
        <w:rPr>
          <w:b/>
        </w:rPr>
        <w:t>E. 13.2</w:t>
      </w:r>
    </w:p>
    <w:p>
      <w:r>
        <w:t>Vu l'issue du litige, il n'est pas alloué de dépens (art. 7 al. 1 du règlement du 21 février 2008 concernant les frais, dépens et indemnités fixés par le Tribunal administratif fédéral [FITAF, RS 173.320.2]). (dispositif à la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