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C-6635/2013 vom 19. Mai 2015</w:t>
      </w:r>
    </w:p>
    <w:p>
      <w:r>
        <w:t>Bundesverwaltungsgericht, 2015-05-19, DE</w:t>
      </w:r>
    </w:p>
    <w:p>
      <w:r>
        <w:rPr>
          <w:b/>
        </w:rPr>
        <w:t xml:space="preserve">Quelle: </w:t>
      </w:r>
      <w:r>
        <w:t>https://mcp.opencaselaw.ch/entscheid/bvger_C-6635_2013</w:t>
      </w:r>
    </w:p>
    <w:p>
      <w:r>
        <w:t>FR: TAF C-6635/2013 du 19 mai 2015</w:t>
      </w:r>
    </w:p>
    <w:p>
      <w:r>
        <w:t>IT: TAF C-6635/2013 del 19 maggio 2015</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legitimiert (Art. 48 Abs. 1 VwVG). Auf die frist- und formgerecht eingereichte Beschwerde ist damit einzutreten, soweit sie nicht das Gesuch um Erteilung eines Visums für die Schweiz beinhaltet, kann doch Verfahrensgegenstand nur sein, was durch den Anfechtungsgegenstand gedeckt ist (Art. 49 ff. VwVG).</w:t>
      </w:r>
    </w:p>
    <w:p>
      <w:r>
        <w:rPr>
          <w:b/>
        </w:rPr>
        <w:t>E. 2</w:t>
      </w:r>
    </w:p>
    <w:p>
      <w:r>
        <w:t>Die Vorinstanz hat ihre Verfügung vom 31. Oktober 2013 teilweise in Wiedererwägung gezogen und das Einreiseverbot auf 15 Jahre befristet (vgl. Bst. I; Art. 58 VwVG). Im Umfang der wiedererwägungsweise nicht gutgeheissenen Rechtsbegehren - d.h. der Aufhebung des Einreiseverbots, eventualiter der Beschränkung desselben auf drei Jahre - bleibt der Rechtsstreit aufrechterhalten (vgl. Art. 58 Abs. 3 VwVG; Andrea Pfleiderer, in: Praxiskommentar VwVG, 2009, Art. 58 N. 52).</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 Die SIS-II-VO wird seit dem 9. April 2013 angewendet und ersetzte insbesondere Art. 96 des Schengener Durchführungsübereinkommens vom 19. Juni 2990 (SDÜ, ABl. L 239/19 vom 22.9.2000; vgl. Urteil des BVGer C 3076/2013 vom 12. März 2015 E. 4 m.H.). 5.5.1 Die Vorinstanz verfügt Einreiseverbote gegen ausländische Personen,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5.2 Das in Art. 67 AuG geregelte Einreiseverbot bildet eine Massnahme zur Abwendung einer künftigen Störung der öffentlichen Sicherheit und Ord­nung (vgl. Botschaft zum Bundesgesetz über die Ausländerinnen und Ausländer vom 8. März 2002 [nf.: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 5819/2012 vom 26. August 2014 m.H.). 5.3 Die in Art. 67 Abs. 3 AuG statuierte Regelhöchstdauer eines Einreiseverbots beträgt 5 Jahre. Stellt die betroffene Person jedoch eine schwerwiegende Gefahr für die öffentliche Sicherheit und Ordnung dar, kann diese Dauer überschritten werden. Allerdings kam das BVGer im eben erwähnten BVGE 2014/20 zum Schluss, dass alle von der Vor­instanz verhängten Einreiseverbote zwingend auf eine bestimmte Zeitdauer zu befristen sind (E. 6.9). Weiter befasste sich das BVGer in diesem Entscheid mit der Frage nach der Höchstdauer solcher Einreiseverbote und kam zum Schluss, dass diese grundsätzlich 15 Jahre beträgt; nur im Wiederholungsfall kann die Dauer 20 Jahre betragen (E. 7). 5.4 Mit Urteil und Beschluss des Bezirksgerichts Zürich vom 24. Januar 2011 wurde der Beschwerdeführer wegen mehrfachen sexuellen Handlungen mit Kindern und mehrfacher Pornografie zu einer Freiheitsstrafe von sechs Jahren verurteilt. Demzufolge hat er gegen die öffentliche Sicher­heit und Ord­nung verstossen bzw. polizeiliche Schutzgüter gefährdet und somit ei­nen Fernhaltegrund im Sinne von Art. 67 Abs. 2 Bst. a AuG gesetzt. 6.6.1 Das angefochtene Einreiseverbot gilt für eine Dauer von 15 Jahren. In einem weiteren Schritt ist deshalb zu prüfen, ob die Voraussetzungen gemäss Art. 67 Abs. 3 Satz 2 AuG (schwerwiegende Gefahr für die öffentliche Sicherheit und Ordnung) erfüllt sind, welche die Verhängung eines mehr als fünfjährigen Einreiseverbots zulassen. 6.2 Die Annahme einer schwerwiegenden Gefahr für die öffentliche Si­cherheit und Ordnung im Sinne von Art. 67 Abs. 3 zweiter Satz AuG setzt mehr voraus als eine blosse Störung oder einfache Gefährdung polizeili­cher Schutzgüter. Verlangt wird eine qualifizierte Gefährdungslage, wo­rüber nach Massgabe aller Umstände des Einzelfalles zu befinden ist. Auf eine solche schwerwiegende Gefahr ist nicht ohne weiteres zu schlies­sen. Sie kann sich aus der Hochwertigkeit des deliktisch bedrohten Rechtsguts (z.B. Leib und Leben, körperliche und sexuelle Integrität und Gesundheit) oder aus der Zugehörigkeit des drohenden Deliktes zur be­sonders schweren Kriminalität mit grenzüberschreitender Dimension er­geben. Zu den letzteren Kriminalitätsbereichen zählt namentlich der Ter­rorismus, der Menschen- und der Drogenhandel sowie die organisierte Kriminalität. Eine entsprechend qualifizierte Gefährdung kann sich über­dies aus einer zunehmend schwereren Delinquenz bei Wiederholungstä­tern mit ungünstiger Legalprognose ergeben. Die zu befürchtenden Delik­te müssen einzeln oder in ihrer Gesamtheit das Potential haben, um eine aktuelle und schwerwiegende Gefahr zu begründen (vgl. BGE 139 II 121 E. 6.3; BVGE 2013/4 E. 7.2.4; Urteil des BVGer C-5602/2012 vom 16. Januar 2015 E. 6.1 m.H.). 6.3 Eine Störung der öffentlichen Sicherheit und Ordnung durch strafbare Handlungen gegen die sexuelle Integrität kann nach dem soeben Gesagten schon allein angesichts der besonderen Hochwertigkeit der betroffenen Rechtsgüter als Grundlage für die Annahme einer schwerwiegenden Gefahr im Sinne von Art. 67 Abs. 3 zweiter Satz AuG dienen. Vorausgesetzt wird allerdings auch, dass die Wahrscheinlichkeit der Realisierung hinreichend gross ist. Sie muss signifikant höher sein als diejenige, die der Annahme einer rechtlich relevanten Gefahr im Sinne von Art. 67 Abs. 2 Bst. a AuG zugrunde liegt. 6.4 Die gegen den Beschwerdeführer ergangenen Straferkenntnisse deuten auf eine erhebliche kriminelle Energie hin. Der Beschwerdeführer hat gemäss Urteil und Beschluss des Bezirksgerichts Zürich vom 14. Januar 2011 in mindestens 58 Fällen objektiv auf geschlechtliche Erregung abziehende sexuelle Handlungen (u.a. Geschlechtsverkehr, orale Penetration, Einführen von Gegenständen in Vagina und Anus usw. (vgl. Urteil S. 10 f.) an der Geschädigten 1, geb. 11. Juni 1993, und an der Geschädigten 2, geboren 21. Oktober 1995, vorgenommen, solche Handlungen vor den Geschädigten vorgenommen beziehungsweise die Geschädigten an solchen Handlungen an sich selbst, an der jeweilig anderen Geschädigten oder an ihm verleitet, wobei er diese sexuellen Handlungen mit einer digitalen Fotokamera gefilmt oder fotografiert hat, bzw. von den Geschädigten filmen oder fotografieren lassen. Der Beschwerdeführer war sich bei all diesen Handlungen zum Nachteil der Geschädigten 2 bewusst, dass sie unter 16 Jahre alt war. Bei allen Handlungen zum Nachteil der Geschädigten 1 hat er gewusst, dass sie unter 16 Jahre alt war bzw. zumindest billigend in Kauf genommen. Insgesamt erscheinen die sexuellen Handlungen als äusserst intensiv. Sie fanden während einem Zeitraum von drei Jahren, zehn Monaten und fünf Tagen im Fall der Geschädigten 1 (ca. 29. Juni 2005 bis 4. Mai 2009) bzw. einem Jahr, einem Monat und 19 Tagen im Fall der Geschädigten 2 (ca. 22. April 2008 bis 11. Juni 2009) statt, womit sich diese über einen langen Zeitraum erstreckten, was die dadurch verschuldete Gefährdung weiter stark erhöht. Die Geschädigten waren im Tatzeitpunkt zwischen 12 und 15 bzw. 12 und 13 Jahre alt und somit noch eindeutig dem Kindesalter zuzuordnen (vgl. Urteil S. 11). Anlässlich der Taten in der Familienwohnung des Beschwerdeführers waren seine Kinder teilweise in der Wohnung und in Hörweite, wodurch er in Kauf nahm, auch die sexuelle Entwicklung seiner Kinder zu gefährden. Besonders perfide erscheint, dass sich der Beschwerdeführer vordergründig um die Ehre und Sicherheit der Geschädigten (Musliminnen) sorgte, jedoch weder Geld noch Mühe scheute, um sie zu beeinflussen (vgl. Urteil S. 13). Das Bezirksgericht Zürich wertet das Verschulden des Beschwerdeführers sowohl bezüglich der sexuellen Handlungen als auch bezüglich der Pornografie als ausserordentlich schwer (vgl. Urteil S. 15). Die vom Beschwerdeführer begangenen Sexualdelikte wurden als Deliktserie mit progredienter Entwicklung qualifiziert. Zudem wurde bei ihm eine moderate Rückfälligkeit für mittelgradige Verletzungen der sexuellen Integrität festgestellt (vgl. Verfügung des Amts für Justizvollzug des Kantons Zürich vom 10. September 2013). Laut Urteil und Beschluss des Bezirksgerichts Zürich vom 14. Januar 2011 hat der Beschwerdeführer keine echte Einsicht in das Unrecht der Tat gezeigt, sondern schien sich vielmehr selber um die Lage zu bedauern, in die ihn sein Verhalten gebracht hat. Er fühlt sich von den Geschädigten "verarscht" und sieht sich selbst als Opfer (vgl. Urteil S. 17). Diese mangelnde Einsicht in das Unrecht seines Verhaltens birgt die Gefahr, dass der Beschwerdeführer auch in Zukunft wieder Delikte gegen die sexuelle, physische und psychische Integrität von Kindern oder Minderjährigen in seinem näheren Umfeld begehen könnte. Von einer aktuellen Gefahr weiterer Rechtsgutverletzungen ist somit auszugehen. 6.5 Durch seine strafrechtliche Verurteilung zu sechs Jahren Freiheitsstrafe hat der Beschwerdeführer die praxisgemässe Grenze einer längerfristigen Freiheitsstrafe massiv (um das Sechsfache) überschritten (vgl. dazu BGE 139 I 31 E. 2.1). Zudem beinhaltet die Verurteilung zu einer Freiheitsstrafe von mehr als zwei Jahren in fremdenpolizeilicher bzw. administrativrechtlicher Perspektive in jedem Fall einen sehr schweren Verstoss gegen die schweizerische Rechtsordnung (vgl. BGE 135 II 377 E. 4.4). 6.6 Damit ist festzustellen, dass beim Beschwerdeführer von einer schwerwie­genden Gefahr für die öffentliche Sicherheit und Ordnung aus­zugehen und eine Überschreitung der fünfjährigen Regelhöchstdauer des Einreiseverbots gemäss Art. 67 Abs. 3 AuG demnach zulässig ist. 7.7.1 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 7.2 Vom Beschwerdeführer geht wie dargetan (vgl. E. 6.3 - 6.6 oben) nach wie vor eine schwerwiegende Gefahr für die öffentliche Sicherheit und Ordnung aus, weshalb ohne Weiteres von einem grossen öffentlichen Fernhalteinteresse auszugehen ist (vgl. BVGE 2013/4 E. 5.2 und 7.2).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Ordnung und Sicherheit zu begehen. Als gewichtig ist auch das generalpräventiv motivierte Interesse zu betrachten, die öffentliche Sicherheit und Ordnung durch eine konsequente Massnahmepraxis zu schützen (vgl. BVGE 2014/20 E. 8.2 m. H.). 7.3 Die sexuelle Integrität eines Menschen stellt ein besonders hochwertiges Rechtsgut dar (vgl. Urteil des BGer 2D_ 37/2014 vom 9. Februar 2015 E. 2.2 m.H.). Bei Delikten gegen dieses Rechtsgut muss zum Schutz der Öffentlichkeit ausländerrechtlich selbst ein geringes Restrisiko weiterer Beeinträchtigungen der gefährdeten Rechtsgüter nicht in Kauf genommen werden (vgl. Urteil des BGer 2C_162/2012 vom 12. Oktober 2012 E. 3.2.1 m. H.). Ein solches Rückfallrisiko ist beim Beschwerdeführer gegeben (vgl. E. 6.4 in fine). 7.4 An persönlichen Interessen lässt der Beschwerdeführer vorbringen, seine Familie kenne den Libanon nur von den Ferien. Aufgrund des unbestimmten Einreiseverbot sei davon auszugehen, dass seine Ehefrau und die Kinder ihn nur während den Ferien und somit maximal vier Wochen im Jahr besuchen könnten. Dies verstosse gegen Art. 8 Abs. 1 EMRK, wonach jede Person das Recht auf Achtung ihres Privat- und Familienlebens habe. 7.5 Ein Aufenthaltsrecht in der Schweiz ist nicht Gegenstand dieses Verfahrens. Das Fehlen eines dauerhaften Aufenthaltsrechts des Beschwerdeführers in der Schweiz steht häufigeren persönlichen Kontakten mit seiner Ehefrau und den zwei volljährigen Kindern bereits entgegen. Unter diesen Umständen ist nicht ersichtlich, inwiefern das Einreiseverbot, das in erster Linie eine administrative Erschwernis darstellt, einen rechtfertigungsbedürftigen Eingriff in das von Art. 8 EMRK geschützte Familienleben darstellen könnte, wie dies der Beschwerdeführer geltend macht. 7.6 Die Wirkung des Einreiseverbots besteht nicht darin, dass dem Beschwerdeführer während dessen Geltungsdauer Aufenthalte in der Schweiz schlichtweg untersagt wären. Es steht ihm vielmehr die Möglichkeit offen, aus wichtigen Gründen, mittels Gesuch bei der Vorinstanz die zeitweilige Suspension der angeordneten Fernhaltemassnahme zu beantragen (Art. 67 Abs. 5 AuG). Die Suspension wird aber praxisgemäss nur für eine kurze und klar begrenzte Zeit gewährt (vgl. Urteil des BVGer C-2913/2014 vom 25. Februar 2015 E. 6.4 in fine m. H.). Dem Beschwerdeführer stehen zudem diverse Mittel der Kommunikation offen, um mit seiner Familie in Kontakt zu treten (Briefverkehr, Videotelefonie, Telefonate oder durch Treffen mit seinen Angehörigen in einem Land ausserhalb der Schengen-Grenze). Weil ein Einreiseverbot nicht mittels Suspensionen ausgehöhlt werden darf, kann ein Familienleben freilich dennoch nur in erheblich eingeschränktem Rahmen stattfinden. Die mit dem Einreiseverbot einhergehenden Einschränkungen hat der Beschwerdeführer jedoch hinzunehmen, zumal diese zur Verhütung von Straftaten und zum Schutz der öffentlichen Sicherheit erforderlich sind (vgl. Art. 8 Abs. 2 EMRK). 7.7 Ein Einreiseverbot kann bei einer schwerwiegenden Gefahr für 5 bis 15 Jahre ausgesprochen werden (vgl. BVGE 2014/20 E. 7). In Anbetracht der vom Beschwerdeführer begangenen Delikte gegen das besonders hochwertige Rechtsgut der sexuellen Integrität von zwei jungen Menschen führt - trotz der geltend gemachten familiären Interessen - eine wertende Gewichtung der sich gegenüberstehenden Interessen das Bundesverwaltungsgericht zum Schluss, dass die verhängte Massnahme sowohl vom Grundsatz her wie auch in der ausgesprochenen Dauer eine verhältnismässige und angemessene Massnahme zum Schutze der öffentlichen Sicherheit und Ordnung darstellt (vgl. bspw. Urteil des BVGer C-3076/2013 vom 12. März 2015 E. 6 ff.). 8.Aus diesen Erwägungen ergibt sich, dass die angefochtene Verfügung im Lichte von Art. 49 VwVG nicht zu beanstanden ist. Die Beschwerde ist demzufolge - soweit nicht gegenstandslos geworden - abzuweisen. 9.Entsprechend dem Ausgang des Verfahrens sind dem Beschwerdeführer ermässigte Verfahrenskosten aufzuerlegen und daran den geleisteten Kostenvorschuss anzurechnen (vgl. Art. 63 Abs. 1 VwVG i.V.m. Art. 1, Art. 2 und Art. 3 Bst. b des Reglements vom 21. Februar 2008 über die Kosten und Entschädigungen vor dem Bundesverwaltungsgericht [VGKE, SR 173.320.2]). Im Umfang seines Obsiegens ist dem Beschwerdeführer eine gekürzte Parteientschädigung in gerichtlich festzusetzender Höhe zuzusprechen (Art. 64 Abs. 1 VwVG i.V.m. Art. 7 ff.).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