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C-6633/2011 vom 7. Januar 2013</w:t>
      </w:r>
    </w:p>
    <w:p>
      <w:r>
        <w:t>Bundesverwaltungsgericht, 2013-01-07, FR</w:t>
      </w:r>
    </w:p>
    <w:p>
      <w:r>
        <w:rPr>
          <w:b/>
        </w:rPr>
        <w:t xml:space="preserve">Quelle: </w:t>
      </w:r>
      <w:r>
        <w:t>https://mcp.opencaselaw.ch/entscheid/bvger_C-6633_2011</w:t>
      </w:r>
    </w:p>
    <w:p>
      <w:r>
        <w:t>FR: TAF C-6633/2011 du 7 janvier 2013</w:t>
      </w:r>
    </w:p>
    <w:p>
      <w:r>
        <w:t>IT: TAF C-6633/2011 del 7 gennaio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effectuée, le recours est recevable.</w:t>
      </w:r>
    </w:p>
    <w:p>
      <w:r>
        <w:rPr>
          <w:b/>
        </w:rPr>
        <w:t>E. 2.1</w:t>
      </w:r>
    </w:p>
    <w:p>
      <w:r>
        <w:t>L'art. 42 de la loi fédérale du 20 décembre 1946 sur l'assurance-vieillesse et survivants (LAVS, RS 831.10), applicable par renvoi de l'art. 39 LAI, dispose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la période minimale requise. L'al. 2 de cette disposition précise que tout assuré pour lequel une rente est octroyée doit satisfaire personnellement à l'exigence du domicile et de la résidence habituelle en Suisse. La notion de domicile est ici celle du code civil suisse du 10 décembre 1907 (CC, RS 210), à savoir le lieu où la personne réside avec l'intention de s'y établir (art. 13 al. 1 LPGA).</w:t>
      </w:r>
    </w:p>
    <w:p>
      <w:r>
        <w:rPr>
          <w:b/>
        </w:rPr>
        <w:t>E. 2.2</w:t>
      </w:r>
    </w:p>
    <w:p>
      <w:r>
        <w:t>La recourante est ressortissante suisse. Elle est depuis juin 2009 domiciliée en France. Conformément à la lettre de l'art. 42 LAVS, l'assurée n'aurait donc pas droit à une rente extraordinaire d'invalidité du fait de son domicile à l'étranger (ATF 130 V 404 consid. 6.2; arrêt du Tribunal administratif fédéral C-8221/2007 du 10 juin 2008 consid. 3.3). Cependant, la France étant un Etat membre de la Communauté européenne,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 est applicable. Or,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Les prestations qui rentrent dans le champ d'application de l'accord sont donc en principe exportables de la Suisse à un Etat membre de la Communauté européenne. Ainsi le transfert du domicile de la recourante en France ne fait nullement obstacle à l'exportation d'une rente extraordinaire d'invalidité au sens de l'art. 42 LAVS (ATF 130 V 145; voir également le Bulletin à l'intention des caisses de compensation AVS et des organes d'exécution des PC [prestations complémentaires] n° 132 du 16 juillet 2003, pt. 3, et le rectificatif du 18 juillet 2003).</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5e révision de la LAI entrées en vigueur le 1er janvier 2008 sont applicables et les dispositions citées ci-après sont sauf précision contraire celles en vigueur à compter du 1er janvier 2008. Les dispositions de la 6ème révision de la LAI (premier volet) en vigueur depuis le 1er janvier 2012 (RO 2011 5659, FF 2010 1647)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w:t>
      </w:r>
    </w:p>
    <w:p>
      <w:r>
        <w:rPr>
          <w:b/>
        </w:rPr>
        <w:t>E. 5.5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(cf.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6.3</w:t>
      </w:r>
    </w:p>
    <w:p>
      <w:r>
        <w:t>Pour accomplir leurs tâches les offices AI sont tenus, au stade de la procédure administrative, de confier une expertise à un médecin indépendant lorsqu'elle se révèle nécessaire pour clarifier les aspects médicaux du cas (Valterio, op. cit.,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Plus pragmatiquement l'administration peut procéder à une appréciation anticipée des preuves pour juger de la non nécessité d'une expertise médicale si le dossier est complet (cf. ATF 135 V 2 consid. 1.3).</w:t>
      </w:r>
    </w:p>
    <w:p>
      <w:r>
        <w:rPr>
          <w:b/>
        </w:rPr>
        <w:t>E. 7.1</w:t>
      </w:r>
    </w:p>
    <w:p>
      <w:r>
        <w:t>En l'espèce une rente entière a été reconnue à l'assurée par arrêt de l'ancien Tribunal cantonal des assurance de Genève du 12 septembre 2007 à compter du 1er octobre 2000. Cet arrêt se fonda sur l'expertise du Dr B._______, psychiatre, qui retint un syndrome douloureux somatoforme persistant, des troubles mixtes de la personnalité (traits de personnalité émotionnellement labile type borderline, anxieuse [évitante] et dépendante, agoraphobie et dysthymie), un trouble de la personnalité constituant l'élément majeur de la psychopathologie. Il indiqua que le trouble somatoforme douloureux constituait une voie de cristallisation des conflits psychiques protégeant l'expertisée de certaines formes de passage à l'acte et/ou de compensation thymique sévère, ce qui expliquait qu'il ne fut pas nécessaire de l'hospitaliser. L'expert releva à cette époque que le trouble mixte de la personnalité représentait une comorbidité psychiatrique grave conduisant à une perturbation profonde des relations interpersonnelles, à une désinsertion sociale et à un isolement affectif complet, favorisant la survenue de troubles thymiques et anxieux. Le tribunal indiqua que l'intéressée devait se soumettre à des mesures thérapeutiques afin de pouvoir se réinsérer dans le monde du travail.</w:t>
      </w:r>
    </w:p>
    <w:p>
      <w:r>
        <w:rPr>
          <w:b/>
        </w:rPr>
        <w:t>E. 7.2</w:t>
      </w:r>
    </w:p>
    <w:p>
      <w:r>
        <w:t>Dans le cadre de la révision initiée par l'OAIE en mai 2010, il est apparu du rapport médical de l'ELSM de Périgeux du 15 septembre 2010 établi à la suite d'une consultation du 1er juillet 2010, que l'intéressée n'était plus suivie sur le plan psychiatrique depuis 2007, qu'elle était enceinte avec une grossesse sans particularité, qu'elle indiquait des douleurs diverses chroniques généralisées, une énorme fatigue et des petits états dépressifs mais présentait à l'examen un très bon état général, une trophicité musculaire apparemment correcte, un bon status psychologique. La Dresse C._______ indiqua un status sans invalidité avec un pronostic de capacité de travail supérieur à 50%.</w:t>
      </w:r>
    </w:p>
    <w:p>
      <w:r>
        <w:rPr>
          <w:b/>
        </w:rPr>
        <w:t>E. 7.3.1</w:t>
      </w:r>
    </w:p>
    <w:p>
      <w:r>
        <w:t>Dans son rapport d'expertise psychiatrique du 30 avril 2011, le Dr E._______ fait état pour l'essentiel d'importantes plaintes, relève un status sans suivi psychiatrique, note un bon état psychique apparent non algique et retient les diagnostics sans influence sur la capacité de travail de syndrome douloureux somatoforme persistant, d'agoraphobie, de trouble dysthymique, de trouble mixte de la personnalité. Il mit l'accent sur le diagnostic de syndrome somatoforme persistant préféré in casu à celui de fibromyalgie compte tenu d'un substrat peu somatique, notant que la dysthymie était de type abaissement de l'humeur un jour sur deux toute la journée sans véritables épisodes dépressifs, la pathologie n'ayant rien de sévère et se trouvant en discordance avec la présentation générale de l'intéressée. Il retint le trouble agoraphobique sans qualification de trouble phobique social et trouble panique. Il ne retint pas de comorbidité psychiatrique du fait d'une basse acuité de la chronicité, concluant à la possibilité pour l'assurée de faire l'effort de surmonter les symptômes liés à son trouble somatoforme et d'intégrer à 100% le monde du travail, l'incapacité de travail étant de 0% depuis le 1er janvier 2010. Cette appréciation fut corroborée par la Dresse G._______ dans son rapport du 27 juin 2011 qui souligna que l'intéressée ne présentait plus de comorbidité psychiatrique selon les critères médicaux et jurisprudentiels requis.</w:t>
      </w:r>
    </w:p>
    <w:p>
      <w:r>
        <w:rPr>
          <w:b/>
        </w:rPr>
        <w:t>E. 7.3.2</w:t>
      </w:r>
    </w:p>
    <w:p>
      <w:r>
        <w:t>Sur le plan psychiatrique, à lire l'expertise du Dr E._______ et la prise de position de la Dresse G._______, l'intéressée ne présente pas de troubles psychiatriques importants qui, cas échéant, justifieraient de considérer le trouble somatoforme persistant dont est atteinte l'assurée d'invalidant selon les critères de la jurisprudence (cf. ATF 132 V 65). En effet, pour que cette atteinte à la santé (voir ATF 130 V 352 et 131 V 50), comme le syndrome de fatigue chronique ou de neurasthénie (arrêt du Tribunal fédéral I 70/07 du 14 avril 2008), l'anesthésie dissociative et les atteintes sensorielles (arrêt du Tribunal fédéral I 9/07 du 9 février 2007 consid. 4), les troubles moteurs dissociatifs (arrêt du Tribunal fédéral 9C_903/2007 du 30 avril 2008 consid. 3.4), soit considérée comme invalidante,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Tribunal fédéral 9C_573/2010 du 8 août 2011 consid. 6.3).</w:t>
      </w:r>
    </w:p>
    <w:p>
      <w:r>
        <w:rPr>
          <w:b/>
        </w:rPr>
        <w:t>E. 7.3.3</w:t>
      </w:r>
    </w:p>
    <w:p>
      <w:r>
        <w:t>Dans ses écritures la recourante fait valoir que la fibromyalgie, qui selon la jurisprudence suisse est assimilée au trouble somatoforme persistant douloureux, est une maladie reconnue pour elle-même par la CIM-10. Certes tel est le cas mais, pour la sécurité sociale suisse, cette maladie pour être reconnue invalidante doit être associée à une comorbidité psychiatrique importante ne permettant pas à la personne qui en est atteinte de surmonter ses douleurs à l'étiologie non déterminée. Cette exigence relève du principe d'égalité de traitement entre les assurés et du fait que sont déterminants les conséquences des atteintes à la santé sur le plan économique, à savoir la perte de gain résultant des atteintes à la santé, et non les atteintes pour elles-mêmes (art. 7 al. 2 LPGA).</w:t>
      </w:r>
    </w:p>
    <w:p>
      <w:r>
        <w:rPr>
          <w:b/>
        </w:rPr>
        <w:t>E. 7.4</w:t>
      </w:r>
    </w:p>
    <w:p>
      <w:r>
        <w:t>Dans son rapport d'expertise rhumatologique du 3 mai 2011 la Dresse F._______ relata pour l'essentiel un bon status général non algique à l'examen clinique, un excès pondéral subjectivement non préoccupant, n'affectant pas l'intéressée dans sa mobilité, une bonne mobilité des membres supérieurs et inférieurs, une fibromyalgie décelée selon les critères de l'ACR mais dont l'importance des handicaps décrits n'était pas justifiée selon le status dont le suivi médical n'était pas régulier, retenant les diagnostics ci-après sans répercussion sur la capacité de travail de syndrome douloureux somatoforme persistant, obésité massive, hypothyroïdie traitée, morphotype des genoux en valgus sans complication arthrosique actuelle, ronchopathie, syndrome des ovaires polykystiques probable, troubles digestifs fonctionnels, discopathie débutante L5-S1 sans élément compressif médullaire ni radiculaire actuel, relevant que l'intéressée ne présentait plus d'affection des genoux et qu'aucun des diagnostics évoqués était d'une gravité à générer une incapacité de travail au long cours, ne relevant aucune notion de tuméfaction ni de déformation articulaire, de syndrome inflammatoire, de signe d'appel pour les manifestations extra-articulaires des rhumatismes inflammatoires, retenant une bonne mobilité à tous les niveaux articulaires, pas de limitation significative axiale, ni rhizomélique des indices d'amplitude articulaires, pas de déformation, pas de synovite, pas de ténosynovite, une évolution femoro-rotulienne bénigne sans luxation spontanée, ni épanchement récidivant, sans blocage, des quadriceps eutrophiques des deux côtés, pas d'évidence d'une tendinopathie patellaire, pas de synovite, bursite, signe d'épanchement au niveau des deux genoux, relevant que les critères d'exclusion pour une affection ostéoarticulaire somatique chronique, évolutive étaient remplis, notant une fibromyalgie au diagnostic relativement fiable associé à des phénomènes de majoration et de discordances multiples et sans qu'il y ait un substrat objectif pouvant offrir des arguments pour une maladie de l'appareil locomoteur. Ce diagnostic fut corroboré par la Dresse D._______ le 10 juin 2011 qui ne releva ainsi pas de limitations fonctionnelles générales significatives, indiquant un état de santé stabilisé, retenant une pleine capacité de travail dans les activités antérieures depuis le 14 avril 2011. Elle souligna que l'expertise rhumatologique objectivait l'absence des limitations fonctionnelles qui étaient présentes en 1999-2000 avec une disparition du syndrome fémoro-patellaire qui avait motivé à l'époque une incapacité de travail temporaire dans l'activité de fleuriste, retenant une pleine capacité de travail pour cette activité ou toute autre activité similaire. Elle mit par ailleurs en exergue que l'assurée avait mené à terme une grossesse sans troubles psychiatriques ni troubles post partum.</w:t>
      </w:r>
    </w:p>
    <w:p>
      <w:r>
        <w:rPr>
          <w:b/>
        </w:rPr>
        <w:t>E. 7.5.1</w:t>
      </w:r>
    </w:p>
    <w:p>
      <w:r>
        <w:t>A l'encontre de ces rapports médicaux précités favorables dont il ressort manifestement une amélioration du status rhumatologique et psychiatrique de l'assurée au moins depuis le 11 avril 2011, date de l'examen psychiatrique du Dr E._______, la recourante oppose sur le plan médical, d'une part, les conclusions de l'expertise judiciaire du Dr B._______, psychiatre, du 30 avril 2007, reprises par l'arrêt du 12 septembre 2007 de l'ancien Tribunal cantonal des assurances de Genève, faisant valoir un status inchangé et, d'autre part, l'attestation de son médecin traitant, le Dr H._______, datée du 28 août 2011, indiquant une médication d'hypnotiques, d'AINS, d'antalgiques, d'anxiolytique, des séances hebdomadaires de kinésithérapie pour cause de lombalgies, des troubles dermatologiques chroniques en relation avec la pathologie globale. Avec la Dresse C. G._______ de l'OAIE, le Tribunal de céans relève que la documentation fournie n'atteste pas d'une aggravation de l'état de santé de l'intéressée depuis sa prise de position du 27 juin 2011. Plus généralement sur le plan médical l'assurée ne fournit aucun élément médical permettant de mettre en doute les conclusions des expertises rhumatologique du 23 mai 2011 et psychiatrique du 30 avril 2011. Son représentant rapporte certes dans ses écritures juridiques un état somatique et psychiatrique invalidant mais ses allégations ne sont aucunement documentées. En l'occurrence l'OAIE a requis deux expertises rhumatologique et psychiatrique dont les conclusions sont concordantes et aucun document médical ne permet de mettre en doutes leurs conclusions. En particulier les difficultés évoquées à la position orthostatique en raison des faiblesses des membres inférieurs, non retenues par l'expertise F._______ et non évoquées de même par le médecin traitant de l'assurée, n'ont pas été documentées. En ces circonstances une nouvelle expertise ne saurait être ordonnée.</w:t>
      </w:r>
    </w:p>
    <w:p>
      <w:r>
        <w:rPr>
          <w:b/>
        </w:rPr>
        <w:t>E. 7.5.2</w:t>
      </w:r>
    </w:p>
    <w:p>
      <w:r>
        <w:t>Le représentant de l'intéressée indique en outre que l'assurée avait effectivement déplacé son domicile de Suisse en France en de bonnes conditions mais que ce déménagement n'avait pu s'effectuer que par l'aide totale de la mère de l'assurée, l'assurée-même n'eut pas été en mesure d'accomplir toutes les démarches y relatives. En soi un déménagement, de surcroît à l'étranger, est un acte complexe mais l'impossibilité d'y parvenir de ses propres moyens n'est pas déterminant car une activité lucrative simple et répétitive ne requiert nullement une énergie comparable à celle déployée pour finaliser un déplacement de son centre de vie. L'intéressée a également invoqué que sa grossesse a été acceptée plus que désirée et que celle-ci s'est passée non sans complications, ces éléments, bien que divergents de ceux rapportés dans les expertises et non documentées, ne sont pas de nature à mettre en doute les conclusions rhumatologiques et psychiatriques de celles-ci.</w:t>
      </w:r>
    </w:p>
    <w:p>
      <w:r>
        <w:rPr>
          <w:b/>
        </w:rPr>
        <w:t>E. 7.5.3</w:t>
      </w:r>
    </w:p>
    <w:p>
      <w:r>
        <w:t>Il sied encore de relever de l'expertise du Dr E._______ que l'intéressée ne présentait pas les signes d'une réelle volonté de se réintégrer dans le monde du travail, en l'occurrence de faire l'effort nécessaire à cette fin. En d'autres termes un déconditionnement a été relevé lors de l'expertise. Or la jurisprudence le prend de règle en compte dès l'octroi de 15 ans de rente ou l'âge de 55 ans (cf. arrêt du Tribunal fédéral 9C_254/2011 du 15 novembre 2011 consid. 7.2.2). Mise à part ces conditions d'examen obligatoire de la prise en compte d'un déconditionnement, un tel status doit relever d'un état pathologique, en l'occurrence d'une comorbidité psychiatrique, et non uniquement être réactionnel à l'idée de devoir réintégrer le marché du travail après une longue période d'inactivité. Le rapport E._______ n'a pas discuté la question de l'incidence du déconditionnement décelé. Il y a toutefois lieu de relever que selon le principe de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cas échéant, de procéder à une nouvelle comparaison de revenus (arrêt du Tribunal fédéral 9C_254/2011 du 15 novembre 2011 consid. 7.1.2.1). En l'espèce l'intéressée est relativement jeune et ne présente plus de troubles psychiatriques et somatiques d'une intensité déterminante pour l'assurance-invalidité. Il peut être attendu d'elle de mettre entièrement à profit sa capacité de travail résiduelle. Son état de santé s'est manifestement amélioré conduisant à une révision du droit à la rente.</w:t>
      </w:r>
    </w:p>
    <w:p>
      <w:r>
        <w:rPr>
          <w:b/>
        </w:rPr>
        <w:t>E. 8</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l'espèce, selon les expertises concordantes des Drs E._______ et F._______ de 2011, l'intéressée est en mesure d'exercer sa dernière activité à plein temps et toutes activités semblables. Aucun élément médical objectif au dossier ne permet de contredire les conclusions des rapports d'expertise. Il s'ensuit que le Tribunal de céans peut retenir, sans référence à un calcul de l'invalidité par une comparaison de revenus du fait même que la dernière activité peut être exercée, que l'intéressée ne présente aucune perte de gain. Dans tous les cas, et ceci est en l'espèce déterminant, si une limitation devait exister dans sa dernière activité, celle-ci ne saurait se monter au moins à 40%, seuil ouvrant le droit à une rente.</w:t>
      </w:r>
    </w:p>
    <w:p>
      <w:r>
        <w:rPr>
          <w:b/>
        </w:rPr>
        <w:t>E. 9</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Au vu de ce qui précède, il appert que le recours est mal fondé et doit être rejeté.</w:t>
      </w:r>
    </w:p>
    <w:p>
      <w:r>
        <w:rPr>
          <w:b/>
        </w:rPr>
        <w:t>E. 10.1</w:t>
      </w:r>
    </w:p>
    <w:p>
      <w:r>
        <w:t>Vu l'issue de la cause, les frais de procédure, fixés à 400 francs, sont mis à la charge de la recourante (art. 63 al. 1 PA en relation avec l'art. 37 LTAF). Ce montant est compensé par l'avance de frais déjà fournie de même montant.</w:t>
      </w:r>
    </w:p>
    <w:p>
      <w:r>
        <w:rPr>
          <w:b/>
        </w:rPr>
        <w:t>E. 10.2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