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C-6630/2008 vom 25. November 2009</w:t>
      </w:r>
    </w:p>
    <w:p>
      <w:r>
        <w:t>Bundesverwaltungsgericht, 2009-11-25, DE</w:t>
      </w:r>
    </w:p>
    <w:p>
      <w:r>
        <w:rPr>
          <w:b/>
        </w:rPr>
        <w:t xml:space="preserve">Quelle: </w:t>
      </w:r>
      <w:r>
        <w:t>https://mcp.opencaselaw.ch/entscheid/bvger_C-6630_2008</w:t>
      </w:r>
    </w:p>
    <w:p>
      <w:r>
        <w:t>FR: TAF C-6630/2008 du 25 novembre 2009</w:t>
      </w:r>
    </w:p>
    <w:p>
      <w:r>
        <w:t>IT: TAF C-6630/2008 del 25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den Anhängen I und II zur Verordnung (EG) Nr. 539/2001 des Rates vom 15. März 2001 (Abl. L 81 vom 21.03.2001, S. 1-7) sind diejenigen Staaten aufgelistet, deren Staatsangehörige beim Überschreiten der Aussengrenzen der Schengen-Mitgliedstaaten im Besitz eines Visums sein müssen (Anhang I) bzw. diejenigen, die keines Visums bedürfen (Anhang II). Zwar findet sich die Republik Kosovo weder in Anhang I noch in Anhang II; entscheidend ist jedoch, dass sie nicht in der Liste der von der Visumspflicht befreiten Staaten aufgeführt ist. Die Gesuchstellerin als kosovarische Staatsangehörige unterliegt deshalb der Visumspflicht.</w:t>
      </w:r>
    </w:p>
    <w:p>
      <w:r>
        <w:rPr>
          <w:b/>
        </w:rPr>
        <w:t>E. 7.1</w:t>
      </w:r>
    </w:p>
    <w:p>
      <w:r>
        <w:t>Gilt es zu beurteilen, ob das Kriterium der gesicherten Wiederausreise erfüllt ist, muss ein zukünftiges Verhalten beurteilt werden. Dazu lassen sich in der Regel keine gesicherten Feststellungen, sondern lediglich Prognosen machen. Anhaltspunkte zur Beurteilung der fristgerechten Wiederausreise können sich aus der allgemeinen Lage im Herkunfts- oder Heimatland des oder der Gesuchstellenden ergeben. In diesem Rahmen ist bei Einreisegesuchen von Personen aus Staaten beziehungsweise Regionen mit politisch oder wirtschaftlich vergleichsweise ungünstigen Verhältnissen zu berücksichtigen, dass deren persönliche Interessenlage in solchen Fällen häufig nicht mit dem Ziel und Zweck einer zeitlich befristeten Einreisebewilligung in Einklang steht.</w:t>
      </w:r>
    </w:p>
    <w:p>
      <w:r>
        <w:rPr>
          <w:b/>
        </w:rPr>
        <w:t>E. 7.2</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Das Wirtschaftswachstum hat sich nach einem zunächst starken Aufschwung ab dem Jahre 2000 (21.2 %) auf ein längerfristig haltbares Niveau abgeflacht (2007: 3.9 %; geschätzte 5.4 % für 2008). Die Arbeitslosigkeit ist weit verbreitet, die entsprechende Rate bleibt hartnäckig hoch: Gemäss den letzten offiziellen Zahlen betrug sie im Jahre 2007 immer noch 43.6 % (2006: 44.9 %). Besonders problematisch ist sie dabei namentlich bei der jungen Bevölkerung. Zudem stellt die Armut ein weitverbreitetes Phänomen dar: Der Anteil der in Armut lebenden Bevölkerung lag im Jahr 2008 bei hohen rund 45 %, wobei 15 % der Einwohner gar von extremer Armut betroffen waren (Quelle: Weltbank, www.worldbank.org &gt; Countries &gt; Kosovo &gt; Overview , Stand: April 2009, besucht am 16. November 2009). Vor diesem Hintergrund besteht vielfach ein Wunsch zur Auswanderung, welcher sich erfahrungsgemäss besonders stark bei jüngeren und ungebundenen Personen manifestiert. Ein im Ausland bereits bestehendes, minimales soziales Beziehungsnetz (Verwandte oder Freunde) ist zudem ein wichtiges Element, das den Entscheid auszuwandern erleichtern kann. Im Falle der Schweiz führt dies angesichts der restriktiven ausländerrechtlichen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Die geschilderten Umstände im Herkunftsland der Gesuchstellerin deuten zwar auf ein latentes Risiko einer nicht fristgerechten Wiederausreise hin. Bei der Analyse des Migrationsrisikos sind jedoch nicht nur solch allgemeine Umstände und Erfahrungen, sondern auch sämtliche Gesichtspunkte des konkreten Einzelfalles zu berücksichtigen. Obliegt der gesuchstellenden Person im Heimat- oder Herkunftsstaat beispielsweise eine besondere berufliche, gesellschaftliche oder familiäre Verantwortung, kann dieser Umstand durchaus die Prognose für eine anstandslose Wiederausreise begünstigen. Umgekehrt muss bei Personen, die keine besonderen Verpflichtungen haben, die sie von einer möglichen Emigration abhalten könnten, aufgrund entsprechender Erfahrungen das Risiko eines ausländerrechtlich nicht vorschriftsgemässen Verhaltens nach bewilligter Einreise zu einem Besuchsaufenthalt als hoch eingeschätzt werden. Die Gesuchstellerin ist 28-jährig, ledig und kinderlos. Wie die Vorinstanz in ihrer Vernehmlassung zutreffend festgehalten hat, wurden zu ihrer - in der Beschwerde erstmals erwähnten - angeblichen Verlobung sowie für das Frühjahr 2009 geplanten Hochzeit im Kosovo desgleichen wie zum Verlobten keinerlei Angaben gemacht. Die Gelegenheit, dies im Rahmen des ihm gewährten Replikrechts nachzuholen, nutzte der Beschwerdeführer nicht und auch zum aktuellen Zeitpunkt ist hinsichtlich einer allfälligen Eheschliessung nichts bekannt. Da aus den Akten nichts ersichtlich ist, was auch nur auf das Bestehen einer entsprechenden Verbindung hinweisen würde (und umso weniger auf konkrete Heiratsabsichten), ist jedoch davon auszugehen, dass es sich dabei lediglich um eine seitens des Beschwerdeführers ohne weitere Grundlage aufgestellte Behauptung handelt. Gemäss ihren eigenen Angaben im Visumsantrag vom 18. Juli 2008 (welche sich mit denjenigen in einem diesem vorangehenden vom 14. Mai 2008 decken) ist die Gesuchstellerin ohne Anstellung. Hinsichtlich der von ihr absolvierten Ausbildung geht aus den vorinstanzlichen Akten nichts hervor. Den Angaben des Beschwerdeführers zuhanden des kantonalen Migrationsamts vom 28. August 2008 zufolge ist die Gesuchstellerin jedoch als Teilzeitangestellte bei Z._______ sowie im Übrigen als Hausfrau tätig. In Bezug auf die von ihr nach ihrer Rückkehr in den Kosovo in Aussicht genommene Beschäftigung gibt er an, sie werde weiterhin als Hausfrau tätig sein sowie eventuell ihre Teilzeitstelle wieder antreten oder in der Boutique einer Bekannten arbeiten. Die diesbezüglichen Angaben des Beschwerdeführers und der Gesuchstellerin erweisen sich somit zunächst einmal als widersprüchlich, wobei ihren eigenen mehr Gewicht beizumessen ist als denjenigen des Beschwerdeführers. Doch selbst wenn man Letzteren folgen sollte, erschiene die berufliche Zukunft der Gesuchstellerin in ihrem Herkunftsland als sehr wenig gefestigt und aussichtsreich. Dies zeigt sich auch daran, dass der Beschwerdeführer von einem Besuchsaufenthalt von "einem bis drei Monaten" und von einem "eventuellen" Wiederantritt ihrer bisherigen Teilzeitstelle spricht. Von besonderen beruflichen Verpflichtungen, welche ihre Wiederausreise nach einem Besuchsaufenthalt als gesichert erscheinen lassen würden, kann jedenfalls angesichts dieser Umstände nicht die Rede sein. Während zum Zeitpunkt eines (im Übrigen ebenfalls abgewiesenen) früheren Gesuchs im Jahre 2005 die Eltern der Gesuchstellerin offenbar noch im Kosovo lebten, sind diese mittlerweile ihrerseits in der Schweiz wohnhaft. Auch zwei Schwestern der Gesuchstellerin leben hier. Ob sie in ihrem Herkunftsland damit überhaupt noch über dort verbleibende Familienangehörige verfügt, hinsichtlich welcher allenfalls in einem gewissen Rahmen familiäre Verpflichtungen bestehen würden bzw. könnten, ist aus den Akten nicht ersichtlich; entsprechende Angaben wurden keine gemacht. Es ist jedoch davon auszugehen, dass mit den Eltern und den beiden Schwestern (mindestens) der Grossteil des engsten Familienkreises der Gesuchstellerin mittlerweile in der Schweiz lebt. In Anbetracht insbesondere des Bestehens eines solch engen (familiären) Beziehungsnetzes in der Schweiz auf der einen sowie des Fehlens besonderer, die Wiederausreise wahrscheinlich erscheinen lassender Verpflichtungen im Herkunftsland auf der anderen Seite kann der Gesuchstellerin hinsichtlich der gesicherten Wiederausreise keine günstige Prognose gestellt werden.</w:t>
      </w:r>
    </w:p>
    <w:p>
      <w:r>
        <w:rPr>
          <w:b/>
        </w:rPr>
        <w:t>E. 9</w:t>
      </w:r>
    </w:p>
    <w:p>
      <w:r>
        <w:t>Unter den geschilderten Umständen durfte die Vorinstanz somit zu Recht davon ausgehen, es bestehe nicht genügend Gewähr für eine gesicherte Wiederausreise der Gesuchstellerin nach einem Besuchsaufenthalt. Daran ändert auch nichts, dass der Beschwerdeführer diese zugesichert hat, ist doch eine solche Garantie weder faktisch noch rechtlich durchsetzbar. Gastgeber können für gewisse finanzielle Risiken im Zusammenhang mit einem Besuchsaufenthalt garantieren, nicht jedoch für ein bestimmtes Verhalten des Gastes (vgl. anstelle vieler: Urteil des Bundesverwaltungsgerichts C-6950/2007 vom 7. November 2008, E. 8).</w:t>
      </w:r>
    </w:p>
    <w:p>
      <w:r>
        <w:rPr>
          <w:b/>
        </w:rPr>
        <w:t>E. 10</w:t>
      </w:r>
    </w:p>
    <w:p>
      <w:r>
        <w:t>Aus diesen Darlegungen folgt, dass die angefochtene Verfügung im Lichte von Art. 49 VwVG rechtmässig ist. Die Beschwerde ist daher abzuweisen.</w:t>
      </w:r>
    </w:p>
    <w:p>
      <w:r>
        <w:rPr>
          <w:b/>
        </w:rPr>
        <w:t>E. 11</w:t>
      </w:r>
    </w:p>
    <w:p>
      <w:r>
        <w:t>Bei diesem Ausgang des Verfahrens sind die auf Fr. 600.- festzusetzenden Verfahrenskosten dem Beschwerdeführer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