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C-6628/2009 vom 30. Juni 2010</w:t>
      </w:r>
    </w:p>
    <w:p>
      <w:r>
        <w:t>Bundesverwaltungsgericht, 2010-06-30, FR</w:t>
      </w:r>
    </w:p>
    <w:p>
      <w:r>
        <w:rPr>
          <w:b/>
        </w:rPr>
        <w:t xml:space="preserve">Quelle: </w:t>
      </w:r>
      <w:r>
        <w:t>https://mcp.opencaselaw.ch/entscheid/bvger_C-6628_2009</w:t>
      </w:r>
    </w:p>
    <w:p>
      <w:r>
        <w:t>FR: TAF C-6628/2009 du 30 juin 2010</w:t>
      </w:r>
    </w:p>
    <w:p>
      <w:r>
        <w:t>IT: TAF C-6628/2009 del 30 giugno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eu égard à la date du dépôt de la demande dans la présente affaire, à savoir le 23 février 2009 (pces 1; 4; 53), et au moment où l'assuré aurait droit au plus tôt à une rente conformément à l'art. 28 al. 1 let. b LAI, c'est-à-dire en avril 2008 (une année après le début de la maladie de longue durée; cf. à ce sujet supra consid. 5.3 s. et let. A), le droit à des prestations doit être examiné en l'espèce à l'aune des modifications de la LAI consécutives à la 5ème révision de cette loi (cf. arrêt du Tribunal fédéral 8C_249/2010 du 1er juin 2010 consid. 2.1 et la référence citée). Les dispositions de la LAI mentionnées ci-après sont donc celles en vigueur dès le 1er janvier 2008.</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23 août 2009 (6 mois après le dépôt de la demande) ou si le droit à une rente était né entre cette date et le 17 septembre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5.3</w:t>
      </w:r>
    </w:p>
    <w:p>
      <w:r>
        <w:t>Conformément à l'art. 28 al. 1 LAI, le droit à une rente naît dès que l'assuré, in casu ressortissant de l'Union européenne, ne peut rétablir, maintenir ou améliorer sa capacité de gain ou sa capacité d'accomplir ses travaux habituels au moyen de mesures de réadaptation raisonnablement exigible (lettre a), présente une incapacité de travail de 40% au moins pendant une année sans interruption notable (lettre b) et, au terme de cette année, est invalide (lettre c).</w:t>
      </w:r>
    </w:p>
    <w:p>
      <w:r>
        <w:rPr>
          <w:b/>
        </w:rPr>
        <w:t>E. 5.4</w:t>
      </w:r>
    </w:p>
    <w:p>
      <w:r>
        <w:t>Une incapacité de travail de 20% doit être prise en compte pour le calcul de l'incapacité de travail moyenne selon l'art. 28 al. 1 let. b LAI (Jurisprudence et pratique administrative des autorités d'exécution de l'AVS/AI [Pratique VSI] 1998 p. 126 consid. 3c; Ulrich Meyer, Bundesgesetz über die Invalidenversicherung (IVG), 2ème édition, Zurich Bâle Genève 2010, p. 279).</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peut renvoyer la cause à l'administration pour complément d'instruction si celle-ci a constaté les faits de façon sommaire, dans l'idée que le tribunal les éclaircirait comme il convient en cas de recours (arrêt du Tribunal fédéral 9C_162/2007 du 3 avril 2008 consid. 2.3. et les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w:t>
      </w:r>
    </w:p>
    <w:p>
      <w:r>
        <w:t>Le litige porte sur le droit du recourant à des prestations de l'assurance-invalidité dans la période déterminante, singulièrement sur le point de savoir si les affections dont il est victime ont pu entraîner une incapacité de travail pendant une durée suffisamment longue pour ouvrir le droit à des prestations de l'assurance-invalidité.</w:t>
      </w:r>
    </w:p>
    <w:p>
      <w:r>
        <w:rPr>
          <w:b/>
        </w:rPr>
        <w:t>E. 9.1</w:t>
      </w:r>
    </w:p>
    <w:p>
      <w:r>
        <w:t>L'administration fonde la décision entreprise sur la prise de position du Dr F._______, de son service médical, qui conclut que les atteintes retenues chez l'assuré n'ont pas pu conduire à une incapacité de travail d'au moins 40% pendant une année dans le sens de l'art. 28 al. 1 let. b LAI tant dans la profession habituelle que dans une activité de substitution. L'assuré est pour sa part d'avis que la documentation médicale versée au dossier est suffisante pour lui reconnaître le droit à des prestations de l'assurance-invalidité, en rappelant que, suite à l'accident intervenu en avril 2007, il a présenté une incapacité de travail complète d'au moins deux ans toujours actuelle à ce jour.</w:t>
      </w:r>
    </w:p>
    <w:p>
      <w:r>
        <w:rPr>
          <w:b/>
        </w:rPr>
        <w:t>E. 9.2</w:t>
      </w:r>
    </w:p>
    <w:p>
      <w:r>
        <w:t>Cela étant, il appert que de nombreux éléments sont de nature à semer le doute sur le bien-fondé des conclusions du Dr F._______ et que la présente affaire n'a pas été instruite de façon suffisante pour pouvoir se prononcer sur la capacité de travail du recourant. Ainsi, on relève d'une part que les nombreuses attestations d'arrêt de travail versées au dossier font part, dans leur ensemble, d'une incapacité de travail entière du recourant de novembre 2007 jusqu'en mai 2009. D'autre part, il ressort des actes de la cause que l'affection au genou n'a aucunement diminué en intensité dans la période subséquente, dès lors que, en juillet 2009, le Dr G._______ a constaté que les douleurs à cet endroit étaient toujours présentes et a conseillé pour cette raison la mise en place d'une prothèse (pce 59 [rapport du 7 juillet 2009]), ce qui a été effectué le 2 novembre 2009 (cf. pce TAF 1 p. 1 [mémoire de recours] et pce TAF 10 p. 3 [rapport du 22 février 2010]). Par ailleurs, on note que l'assureur perte de gain a versé des indemnités journalières jusqu'au 31 août 2009 (cf. pce TAF 10 p. 4), à savoir pendant le temps maximal prévu de 720 jours, aboutissant ainsi manifestement à des conclusions inverses de celles retenues par le Dr F._______ quant à l'exigibilité de l'activité habituelle de la part du recourant. Finalement, en ce qui concerne l'exigibilité d'une activité de substitution, le Tribunal de céans ne peut sans autre se rallier aux conclusions du médecin de l'OAIE qui retient que le recourant est en mesure d'accomplir à plein temps des professions telles que celles de concierge ou de magasinier (voire supra let. C; sur le principe inquisitoire cf. supra consid. 7 et arrêt du Tribunal fédéral 8C_135/2010 du 28 mai 2010 consid. 4.2). En effet, les rapports médicaux des spécialistes ayant traité le recourant, notamment les Drs B._______, chirurgie orthopédique (dossier SUVA p. 16), D._______, chirurgie orthopédique (cf. pces 28 et 38), E._______, rhumatologie-ostéopathie (pce 49) et G._______, chirurgie orthopédique et traumatologique (pce 57-59), ne prennent pas position sur la capacité de travail du recourant dans une activité de substitution à court et moyen terme et ne peuvent ainsi confirmer l'opinion du Dr F._______. En outre, on relève que l'assuré a été examiné à plusieurs reprises par les Drs C._______ et H._______, spécialistes en médecine générale. Or, hormis le rapport médical ancien du 10 octobre 2007 établi par le Dr C._______ (dossier SUVA p. 15), le dossier ne contient aucune documentation un tant soit peu détaillée de ces praticiens mais uniquement des attestations d'arrêt de travail pas du tout motivées jusqu'au mois de juillet 2008, puis par la suite tout au plus de façon très sommaire, le Dr H._______ faisant tantôt part de gonalgies (attestations des 27 août 2008 et 30 septembre 2008 [pces 43 et 44]), tantôt d'un état dépressif ([attestations des 27 novembre 2008, 1er février 2009 et 30 mars 2009 [pces 46, 48 et 51]). Il semble ainsi qu'une problématique psychiatrique se soit ajoutée aux affections somatiques et les actes de la cause, au vu de leur caractère peu clair et sommaire, ne permettent pas de déterminer de façon suffisamment fiable à partir de quel moment cette nouvelle affection serait éventuellement intervenue. Dans ces conditions, on ne saurait interpréter ces documents en défaveur du recourant sur la base de simples suppositions. Il subsiste par conséquent un doute sérieux quant à la question de savoir si le recourant a présenté une incapacité de travail moyenne d'au moins 40% pendant une année avant août 2009, soit le moment où le droit à des prestations aurait pu naître au plus tôt (cf. à sujet supra consid. 3.2). Compte tenu de tous ces éléments, il appert que l'autorité inférieure n'a pas agi conformément au droit en statuant dans la présente affaire sans avoir au préalable recueilli des renseignements complémentaires auprès des médecins ayant traité et suivi l'assuré. En particulier, elle aurait dû notamment obtenir des informations plus détaillées en ce qui concerne les diagnostics retenus dans la période déterminante pour l'octroi éventuel de prestations et requérir de ces praticiens des indications précises quant aux limitations fonctionnelles de l'assuré tant au niveau somatique que psychique et une évaluation de sa capacité de travail dans sa profession habituelle d'une part et dans une activité de substitution d'autre part.</w:t>
      </w:r>
    </w:p>
    <w:p>
      <w:r>
        <w:rPr>
          <w:b/>
        </w:rPr>
        <w:t>E. 9.3</w:t>
      </w:r>
    </w:p>
    <w:p>
      <w:r>
        <w:t>En conséquence de tout ce qui précède, le Tribunal de céans conclut que les actes de la cause ne constituent pas une base suffisante pour rendre un jugement dans la présente affaire. Il se justifie dès lors, en application de l'art. 61 PA, de renvoyer la cause à l'OAIE pour instruction complémentaire. L'autorité inférieure veillera à recueillir des informations plus détaillées auprès des médecins ayant suivi l'assuré dans le sens du considérant précédent et procédera à toute autre mesure d'instruction nécessaire pour permettre de juger valablement de l'état de santé de l'assuré et de sa capacité de travail tant au niveau orthopédique que psychique, le cas échéant au moyen d'une expertise.</w:t>
      </w:r>
    </w:p>
    <w:p>
      <w:r>
        <w:rPr>
          <w:b/>
        </w:rPr>
        <w:t>E. 10</w:t>
      </w:r>
    </w:p>
    <w:p>
      <w:r>
        <w:t>Vu l'issue de la cause, il n'est pas perçu de frais de procédure (art. 63 PA) et la demande d'assistance judiciaire y relative devient sans objet.</w:t>
      </w:r>
    </w:p>
    <w:p>
      <w:r>
        <w:rPr>
          <w:b/>
        </w:rPr>
        <w:t>E. 11</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