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C-6621/2008 vom 23. November 2010</w:t>
      </w:r>
    </w:p>
    <w:p>
      <w:r>
        <w:t>Bundesverwaltungsgericht, 2010-11-23, IT</w:t>
      </w:r>
    </w:p>
    <w:p>
      <w:r>
        <w:rPr>
          <w:b/>
        </w:rPr>
        <w:t xml:space="preserve">Quelle: </w:t>
      </w:r>
      <w:r>
        <w:t>https://mcp.opencaselaw.ch/entscheid/bvger_C-6621_2008</w:t>
      </w:r>
    </w:p>
    <w:p>
      <w:r>
        <w:t>FR: TAF C-6621/2008 du 23 novembre 2010</w:t>
      </w:r>
    </w:p>
    <w:p>
      <w:r>
        <w:t>IT: TAF C-6621/2008 del 23 novembre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5.1</w:t>
      </w:r>
    </w:p>
    <w:p>
      <w:r>
        <w:t>La parte ricorrente ha affermato che la decisione impugnata sarebbe stata sommariamente motivata e non si capisce dalla stessa su quali basi è fondato il suo parere. Inoltre, l'amministrazione non avrebbe messo a disposizione del ricorrente le perizie mediche (o pareri) determinanti. Ora, queste censure devono essere esaminate nell'ambito del diritto di essere sentito, la cui violazione va esaminata d'ufficio dallo scrivente Tribunale (DTF 120 V 357 consid. 2a).</w:t>
      </w:r>
    </w:p>
    <w:p>
      <w:r>
        <w:rPr>
          <w:b/>
        </w:rPr>
        <w:t>E. 5.2</w:t>
      </w:r>
    </w:p>
    <w:p>
      <w:r>
        <w:t>Il diritto di essere sentito, la cui garanzia è prevista dall'art. 29 cpv. 2 della Costituzione federale del 18 aprile 1999 (Cst., RS 101), comprende il diritto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 La giurisprudenza ha dedotto dal diritto di essere sentito, definito dalle norme speciali di procedura (quali l'art. 35 PA)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 Tuttavia, qualora il vizio costituisce una grave violazione di procedura, tenuto conto del principio dell'economia di procedura, è escluso che l'autorità di ricorso lo sani (cfr. LORENZ KNEUBÜHLER, Gehörverletzung und Heilung, in Zbl 3/1998, p. 112ss).</w:t>
      </w:r>
    </w:p>
    <w:p>
      <w:r>
        <w:rPr>
          <w:b/>
        </w:rPr>
        <w:t>E. 5.3</w:t>
      </w:r>
    </w:p>
    <w:p>
      <w:r>
        <w:t>Nella fattispecie, la decisione impugnata del 19 settembre 2008 non contiene tutti quegli elementi essenziali sopra ricordati. È vero che vengono espresse le norme legali principali applicabili, ma mancano le valutazioni del servizio medico dell'autorità inferiore, come pure un breve riassunto dei fatti. Viene soltanto riportato il calcolo economico con spiegazioni introduttive piuttosto sommarie. Con il progetto di decisione inviato al richiedente era stato illustrato quale sarebbe stato il risultato della sua domanda e nel contempo gli era stata offerta la possibilità di pronunciarsi, ma non gli erano state fornite più informazioni di quelle contenute nella decisione del 19 settembre 2008. Dalla motivazione di questo provvedimento il ricorrente non ha potuto dedurre i fatti su cui esso si fondava e le ragioni per cui è stato pronunciato. Si deve pertanto ammettere che la decisione impugnata non è sufficientemente motivata ciò che costituisce una violazione del diritto di essere sentito del ricorrente. Si rileva tuttavia che tale carenza è stata sanata in sede ricorsuale: nella sua risposta del 5 gannaio 2009 e nella duplica del 30 marzo 2009 (con allegato il rapporto del 20 marzo 2009 del Dott. Erba) l'Ufficio AI cantonale ha esaurientemente spiegato per quali motivi la rendita AI è stata ridotta della metà. Visto quanto sopra, la censura del ricorrente, in ordine all'insufficienza della motivazione, e quindi alla violazione del suo diritto di essere sentito, si rivela fondata ma sanata in sede ricorsuale (cfr. DTF 116 V 39/40 consid. 4b).</w:t>
      </w:r>
    </w:p>
    <w:p>
      <w:r>
        <w:rPr>
          <w:b/>
        </w:rPr>
        <w:t>E. 6</w:t>
      </w:r>
    </w:p>
    <w:p>
      <w:r>
        <w:t>Il ricorrente ha presentato la domanda di rendita il 2 marzo 2007.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 marzo 2006 (ossia 12 mesi precedenti la presentazione della domanda), oppure se un diritto alla rendita sia sorto tra tale data e 19 settembre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7</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8.1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8.3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8.5</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9.1</w:t>
      </w:r>
    </w:p>
    <w:p>
      <w:r>
        <w:t>L'interessato non ha più lavorato dopo il 7 aprile 2005 ed è stato licenziato con effetto 30 novembre successivo. Dal 2002 era attivo come meccanico d'auto presso un garage di Lugano in ragione di 43 ore settimanali, per uno stipendio lordo, aggiornato al 2007, di Fr. 4'750.- mensili x 13 mesi.</w:t>
      </w:r>
    </w:p>
    <w:p>
      <w:r>
        <w:rPr>
          <w:b/>
        </w:rPr>
        <w:t>E. 9.2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w:t>
      </w:r>
    </w:p>
    <w:p>
      <w:r>
        <w:rPr>
          <w:b/>
        </w:rPr>
        <w:t>E. 9.3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9.4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10.1</w:t>
      </w:r>
    </w:p>
    <w:p>
      <w:r>
        <w:t>Nel caso in esame, l'amministrazione ha preso atto del voluminoso incarto della Cassa malati (CSS). Da questo emergono le relazioni svolte per tale assicuratore dal Dott. Heitmann, specialista in medicina interna, e dal Dott. Pianezzi, pure internista. La problematica medica essendo prevalentemente ortopedica, l'interessato è stato visitato più volte dal Dott. Goldinger, specialista in reumatologia (5 agosto 2005, 27 giugno 2006, 12 febbraio 2007). L'amministrazione AI ha poi ritenuto utile sottoporre il paziente a visita medica pluridisciplinare al SAM di Bellinzona.</w:t>
      </w:r>
    </w:p>
    <w:p>
      <w:r>
        <w:rPr>
          <w:b/>
        </w:rPr>
        <w:t>E. 10.2</w:t>
      </w:r>
    </w:p>
    <w:p>
      <w:r>
        <w:t>I sanitari incaricati, nella loro relazione del 21 marzo 2008 (visite del 25, 28, 29 e 30 gennaio), hanno evidenziato: "Diagnosi con influenza sulla capacità lavorativa: Periartropatia scapolo-omerale tendinotica cronica a destra con: stato dopo artroscopia, tenotomia del capolungo del bicipite, débridement articolare, borsectomia ed acromioplastica del 30 agosto 2005; stato dopo borsectomia, acromioplastica, sutura del tendine del sovraspinato e resezione dell'epifisi distale della clavicola a cielo aperto il 30 agosto 2006. Periartropatia omeroscapolare tendinotica cronica a sinistra con lesione parziale del sovraspinato. Sindrome lombospondilogena con spondilolisi bilaterale di L5 con avanzata osteocondrosi L4-L5, avanzata osteocondrosi L5-S1. Sindrome cervicolombospondilogena cronica con avanzata uncoartrosi ed iperostosi multisegmentale. Rottura del menisco mediale del ginocchio dopo trauma distorsivo di diversi anni fa. Possibile artrite psoriatica da anni con entesopatia a livello dei tendini di Achille a predominanza destra con iperostosi, stato dopo asportazione di un'iperostosi destra il 31 maggio 2005, gonfiori dolorosi anamnestici recidivanti ai polsi, anamnesticamente psoriasi semplice con partecipazione delle unghie da anni, probabile iperostosi sheletrale idiopatica diffusa. Sindrome da disadattamento con umore deflesso. Diagnosi senza influenza sulla capacità di lavoro: Diabete mellito non insulinodipendente in trattamento con antidiabetici orali, sindrome vertiginosa ricorrente con sintomatologia poco compatibile con una labirintopatia periferica, non specifica per un morbo di Menière con: audiometria tonale con abbassamento nelle frequenze acute bilateralmente. Sovrappeso con BMI 28 kg/m2". La relazione del Dott. Liverani del 22 gennaio 2009, peraltro di data posteriore al provvedimento impugnato, come pure le visite sulle quali si fonda, non apporta novità di rilievo in materia diagnostica.</w:t>
      </w:r>
    </w:p>
    <w:p>
      <w:r>
        <w:rPr>
          <w:b/>
        </w:rPr>
        <w:t>E. 10.3</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11</w:t>
      </w:r>
    </w:p>
    <w:p>
      <w:r>
        <w:t>Una perizia richiesta dall'Ufficio AI cantonale (in casu un servizio di accertamento medico specifico dell'assicurazione per l'invalidità)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o non conclusive alla luce di altri referti (DTF 123 V 175 e 122 V 157). Il Tribunale federale ha inoltre precisato che deve essere considerata rilevante una perizia affidata al SAM, negando che tale servizio medico possa essere considerato parte in causa per sussistenza di un vincolo per cui l'istituto medesimo sarebbe obbligato a tenere in particolare considerazione gli interessi specifici dell'assicurazione per l'invalidità.</w:t>
      </w:r>
    </w:p>
    <w:p>
      <w:r>
        <w:rPr>
          <w:b/>
        </w:rPr>
        <w:t>E. 12.1</w:t>
      </w:r>
    </w:p>
    <w:p>
      <w:r>
        <w:t>L'assicurato è portatore di patologie ortopedica/articolare con risvolti dermatologici e psichica; la turba otorinolaringoiatrica non sembra assumere carattere invalidante.</w:t>
      </w:r>
    </w:p>
    <w:p>
      <w:r>
        <w:rPr>
          <w:b/>
        </w:rPr>
        <w:t>E. 12.1.1</w:t>
      </w:r>
    </w:p>
    <w:p>
      <w:r>
        <w:t>Sotto il profilo reumatologico/ortopedico/articolare (Dott. Badaracco), la periartropatia omeroscapolare, da imputare ad una sindrome da impingment bilaterale, risente indubbiamente degli esiti dei due interventi chirurgici i cui risultati, osserva l'esperto incaricato, sono insoddisfacenti. A complicare il quadro morboso alle spalle si aggiunge una sintomatologia lombospondilogena cronica con segni di spondilolistesi e avanzata osteocondrosi soprattutto fra L4-L5 ed L5-S1. Anche la colonna cervicale è colpita da un'importante unco-artrosi. Problemi al ginocchio sinistro sono presenti da diversi anni. Il paziente presenta plurisettoriali segni di psoriasi che fanno pensare ad un'incipiente artrite psoriatica od altre turbe entesopatiche. Anche i polsi sono colpiti da frequenti gonfiori da ascrivere, verosimilmente, a un processo infiammatorio. L'esperto incaricato ritiene che l'assicurato è in grado di svolgere un'attività prevalentemente sedentaria, che permetta cambiamenti di posizione, priva di lunghi tragitti a piedi (capacità funzionale per spostamenti fino a 50 metri è lievemente ridotta, oltre 50 metri è ridotta, per lunghi tragitti è esigua); il paziente non può ripetutamente salire e scendere le scale, deve evitare dei movimenti di flesso/estensione delle ginocchia, la posizione inginocchiata; deve evitare movimenti ripetitivi delle spalle e lavori con le spalle sopra l'orizzontale. Anche l'impiego delle mani è possibile normalmente, ma limitato dal problema delle spalle. In queste condizioni, il perito ritiene che l'interessato è abile al lavoro a tempo pieno, ma con rendimento ridotto del 50%, oppure al 50% con rendimento normale.</w:t>
      </w:r>
    </w:p>
    <w:p>
      <w:r>
        <w:rPr>
          <w:b/>
        </w:rPr>
        <w:t>E. 12.1.2</w:t>
      </w:r>
    </w:p>
    <w:p>
      <w:r>
        <w:t>Sotto il profilo psichiatrico (perizia del Dott. Mari) è evidente che l'insorgere delle diverse malattie e l'incapacità di continuare nel proprio lavoro hanno sviluppato un importante disturbo dell'adattamento con umore deflesso, senso di inquietudine, ideazione polarizzata da tematiche inerenti allo stato di salute, ipocondria. Lo stato ansio-depressivo accompagnato da dette preoccupazioni e la riduzione della gamma degli interessi e da un ritiro sociale ha portato il paziente a smarrire il suo orientamento esistenziale, a scoraggiarsi e a manifestare segnali di rinuncia. Tutto questo complesso morboso porta l'esperto a ritenere nel 30% almeno il tasso d'invalidità in esame sotto il suo profilo specialistico. I fattori che riducono la capacità al lavoro consistono in una diminuzione della resistenza ed in un infiacchimento della capacità di autogestione di fronte alle situazioni che gli si presentano.</w:t>
      </w:r>
    </w:p>
    <w:p>
      <w:r>
        <w:rPr>
          <w:b/>
        </w:rPr>
        <w:t>E. 12.1.3</w:t>
      </w:r>
    </w:p>
    <w:p>
      <w:r>
        <w:t>Dal lato otorinolaringoiatrico, il Dott. Jermini esclude, nonostante la sintomatologia vertiginosa lamentata dal paziente, l'esistenza di una labirintopatia periferica o un morbo di Menière. Vi è senz'altro un problema di ipoacusia, consistente, soprattutto, in un abbassamento della frequenze acute su di un sonotrauma cronico. Questi disturbi, tuttavia, non influiscono sulla sua capacità di lavoro, come meccanico d'auto o in attività alternative.</w:t>
      </w:r>
    </w:p>
    <w:p>
      <w:r>
        <w:rPr>
          <w:b/>
        </w:rPr>
        <w:t>E. 12.1.4</w:t>
      </w:r>
    </w:p>
    <w:p>
      <w:r>
        <w:t>Per il resto, il paziente si presenta in buone condizioni generali di salute, con un diabete non insulinodipendente ben controllato, un sovrappeso non grave e gli altri organi o apparati indenni da patologie.</w:t>
      </w:r>
    </w:p>
    <w:p>
      <w:r>
        <w:rPr>
          <w:b/>
        </w:rPr>
        <w:t>E. 12.2</w:t>
      </w:r>
    </w:p>
    <w:p>
      <w:r>
        <w:t>Sulla base di questo quadro clinico gli esperti del SAM escludono che il paziente possa riprendere il suo precedente lavoro di meccanico d'auto. Egli è ritenuto in grado di esercitare altre attività con i limiti elencati nel rapporto ortopedico ed in misura del 50% (inteso sia a tempo pieno con rendimento della metà, sia a metà tempo). I medici dell'UAI cantonale confermano diagnosi e valutazioni Per quanto riguarda il rapporto del Dott. Liverani del 22 gennaio 2009, esibito in sede di replica, a prescindere dal fatto che esula dal periodo di cognizione giudiziaria, il medico di parte fa perno, soprattutto su di una risonanza magnetica eseguita il 2 dicembre 2008 ma non apporta novità rispetto a quanto illustrato dal Dott. Badaracco. Tale esame non mostra elementi in favore di una problematica radicolare e il quadro descritto dallo specialista di parte non accenna assolutamente a sofferenze di tipo neurogeno (cfr. rapporto del Dott. Erba del 20 marzo 2009). Neppure il rapporto del Dott. Sedran del 3 settembre 2009 può essere preso in considerazione perché posteriore alla data della decisione impugnata.</w:t>
      </w:r>
    </w:p>
    <w:p>
      <w:r>
        <w:rPr>
          <w:b/>
        </w:rPr>
        <w:t>E. 12.3</w:t>
      </w:r>
    </w:p>
    <w:p>
      <w:r>
        <w:t>Da un punto di vista temporale, il miglioramento della capacità di lavoro è stato accertato il 30 gennaio 2008, data dell'ultima visita presso il SAM. Nella decisione impugnata l'Ufficio AI cantonale ha ritenuto che questo miglioramento poteva essere ammesso dal 21 marzo 2008, quando è stata redatta la perizia del SAM. Ora, questo apprezzamento non è condivisibile. Determinante per constatare un miglioramento dello stato di salute può essere infatti la data della visita medica, ma non certo la data di redazione della perizia, che può dipendere da fattori esterni che nulla hanno a vedere con la valutazione della capacità lavorativa dell'interessato. Del resto, l'Ufficio AI cantonale è ritornato sulla sua valutazione e nella risposta di causa ha riferito che sarebbe più corretto ritenere che lo stato di salute dell'interessato è migliorato già da gennaio 2008. Il collegio giudicante, sulla scorta dei pareri dei medici dell'UAIE, ritiene che A.________ potrebbe svolgere, dal 30 gennaio 2008, a tempo pieno, ma con rendimento ridotto del 50%, attività di ripiego leggere e/o semisedentarie, ripetitive e semplici, quali quella di operaio addetto al controllo di macchine di produzione automatica, operaio addetto all'imballaggio di piccoli oggetti, portiere d'albergo, addetto alla ricezione in portinerie di grandi ditte, fattorino; custode di museo o di parcheggio, aiuto magazziniere, benzinaio.</w:t>
      </w:r>
    </w:p>
    <w:p>
      <w:r>
        <w:rPr>
          <w:b/>
        </w:rPr>
        <w:t>E. 13</w:t>
      </w:r>
    </w:p>
    <w:p>
      <w:r>
        <w:t>Occorre pertanto esaminare se, nell'ambito di attività di sostituzione, l'insorgente presenti un'incapacità di guadagno di rilievo.</w:t>
      </w:r>
    </w:p>
    <w:p>
      <w:r>
        <w:rPr>
          <w:b/>
        </w:rPr>
        <w:t>E. 13.1</w:t>
      </w:r>
    </w:p>
    <w:p>
      <w:r>
        <w:t>L'invalidità è determinata stabilendo il rapporto fra il reddito del lavoro che l'assicurato conseguirebbe, dopo la manifestazione dell'invalidità e dopo l'esecuzione d'eventuale provvedimenti d'integrazione, nell'esercizio di un'attività lucrativa, ragionevolmente esigibile da lui in condizioni normali del mercato del lavoro, e il reddito che potrebbe conseguire se non fosse diventato invalido (art. 16 LPGA).</w:t>
      </w:r>
    </w:p>
    <w:p>
      <w:r>
        <w:rPr>
          <w:b/>
        </w:rPr>
        <w:t>E. 13.2</w:t>
      </w:r>
    </w:p>
    <w:p>
      <w:r>
        <w:t>L'amministrazione ha considerato (calcolo effettuato il 4 giugno 2008) quale salario privo d'invalidità, quello conseguibile nel 2007 come operaio meccanico d'auto presso l'ex datore di lavoro, ossia Fr. 61'750.-. Quale reddito da invalido l'UAIE ha ritenuto quello ottenibile in attività di tipo leggero non qualificate e ripetitive. Queste attività comportano un salario medio mensile di Fr. 60'144.- (Tabelle RSS, TA1). Questo introito teorico può essere ridotto per tenere conto dei fattori personali dell'assicurato (DTF 126 V 75), quali età, handicap. L'amministrazione ha operato una deduzione complessiva del 13%. Deve essere osservato che nell'ambito dell'applicazione di tale riduzione per fattori personali, l'amministrazione gode di un'ampia autonomia di giudizio, che il giudice può rivedere soli in casi motivati, ciò che non è il caso in specie. Ne consegue un reddito mensile da invalido di Fr. 52'325.-, attività che svolta al 50% comporta un reddito di Fr. 26'162,64. Il confronto fra un reddito privo d'invalidità di Fr. 61'750.- con un reddito dopo l'insorgenza dell'invalidità di Fr. 26'162,64, comporta una perdita di guadagno del 58%, grado che apre il diritto ad una mezza rendita dell'assicurazione svizzera per l'invalidità.</w:t>
      </w:r>
    </w:p>
    <w:p>
      <w:r>
        <w:rPr>
          <w:b/>
        </w:rPr>
        <w:t>E. 13.3</w:t>
      </w:r>
    </w:p>
    <w:p>
      <w:r>
        <w:t>In applicazione del menzionato art. 88a cpv. 1 OAI, sarebbe stato più corretto sostituire la rendita intera con una mezza rendita a decorrere dal 1° maggio 2008 (tre mesi dopo il miglioramento constatato il 30 gennaio 2008). Nella risposta di causa, l'Ufficio AI cantonale ha rilevato questo fatto ma ha rinunciato a proporre di riformare la decisione a svantaggio del ricorrente sostituendo la rendita intera con una mezza rendita già dal 1° maggio 2008 (invece del 1° giugno). Tenuto conto delle prerogative di questo Tribunale, considerato anche che non si tratta di una rettifica di notevole importanza, si può rinunciare a procedere a una "reformatio in peius" della decisione impugnata (sulla questione vedi sentenza del TAF C-909/2008 dell'11 marzo 2010 consid. 12.2 con i rif., vedi anche UELI KIESER, ATSG-Kommentar, 2a ed., ad art. 53 pag. 678 n. 34). È quindi opportuno confermare la sostituzione della rendita intera con una mezza rendita a decorrere dal 31 maggio 2008. In queste circostanze il ricorso deve essere respinto e l'impugnata decisione confermata.</w:t>
      </w:r>
    </w:p>
    <w:p>
      <w:r>
        <w:rPr>
          <w:b/>
        </w:rPr>
        <w:t>E. 14.1</w:t>
      </w:r>
    </w:p>
    <w:p>
      <w:r>
        <w:t>Le spese processuali, ammontanti a Fr. 300.-, sono poste a carico del ricorrente e vengono compensate con l'anticipo già versato di Fr. 300.-.</w:t>
      </w:r>
    </w:p>
    <w:p>
      <w:r>
        <w:rPr>
          <w:b/>
        </w:rPr>
        <w:t>E. 14.2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