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C-661/2011 vom 6. Juni 2012</w:t>
      </w:r>
    </w:p>
    <w:p>
      <w:r>
        <w:t>Bundesverwaltungsgericht, 2012-06-06, FR</w:t>
      </w:r>
    </w:p>
    <w:p>
      <w:r>
        <w:rPr>
          <w:b/>
        </w:rPr>
        <w:t xml:space="preserve">Quelle: </w:t>
      </w:r>
      <w:r>
        <w:t>https://mcp.opencaselaw.ch/entscheid/bvger_C-661_2011</w:t>
      </w:r>
    </w:p>
    <w:p>
      <w:r>
        <w:t>FR: TAF C-661/2011 du 6 juin 2012</w:t>
      </w:r>
    </w:p>
    <w:p>
      <w:r>
        <w:t>IT: TAF C-661/2011 del 6 giugno 2012</w:t>
      </w:r>
    </w:p>
    <w:p>
      <w:pPr>
        <w:pStyle w:val="Heading2"/>
      </w:pPr>
      <w:r>
        <w:t>Regeste</w:t>
      </w:r>
    </w:p>
    <w:p>
      <w:r>
        <w:t>Interdiction d'entrée</w:t>
      </w:r>
    </w:p>
    <w:p>
      <w:pPr>
        <w:pStyle w:val="Heading2"/>
      </w:pPr>
      <w:r>
        <w:t>Erwägungen</w:t>
      </w:r>
    </w:p>
    <w:p>
      <w:r>
        <w:rPr>
          <w:b/>
        </w:rPr>
        <w:t>E. 2</w:t>
      </w:r>
    </w:p>
    <w:p>
      <w:r>
        <w:t>Il s'impose d'emblée de relever que le TAF ne peut examiner que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En conséquence, l'objet du litige est limité, par le dispositif de la décision attaquée, à la seule question de l'interdiction d'entrée en Suisse. Les arguments du recourant portant sur son renvoi de ce pays sont ainsi irrecevables, dans la mesure où cette question ne fait pas partie de l'objet du litige. Il convient tout au plus d'observer à cet égard que, par décision du 12 juin 2008, le SPOP a révoqué l'autorisation de séjour de l'intéressé et prononcé son renvoi du territoire helvétique, que, par décision du 16 mars 2010, le Service de la population et des migrations du canton du Valais a refusé la demande de dérogation aux conditions d'admission au sens de l'art. 30 al. 1 let. b LEtr du recourant, tout en lui impartissant un délai pour quitter ce pays, et que ces décisions sont entrées en force.</w:t>
      </w:r>
    </w:p>
    <w:p>
      <w:r>
        <w:rPr>
          <w:b/>
        </w:rPr>
        <w:t>E. 3</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et la jurisprudence citée).</w:t>
      </w:r>
    </w:p>
    <w:p>
      <w:r>
        <w:rPr>
          <w:b/>
        </w:rPr>
        <w:t>E. 4.1</w:t>
      </w:r>
    </w:p>
    <w:p>
      <w:r>
        <w:t>Dans son pourvoi du 31 janvier 2011 et ses observations du 24 mai 2011, l'intéressé a implicitement reproché à l'autorité inférieure d'avoir violé son droit d'être entendu.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 Ce principe doit toutefois être relativisé, dès lors qu'une éventuelle violation du droit d'être entendu en première instance peut exceptionnellement, pour autant qu'elle ne revête pas une gravité particulière, être réparée lorsque l'administré a eu la possibilité de s'expliquer librement devant une autorité de recours, dont la cognition est aussi étendue que celle de l'autorité inférieure (cf. ATF 134 I 140 consid. 5.5, 133 I 201 consid. 2.2, 130 II 530 consid. 7.3; ATAF 2010/35 consid. 4.3.1 et les références citées). Si le principe de l'économie de procédure peut exceptionnellement justifier que l'autorité de recours s'abstienne de retourner le dossier à l'autorité inférieure pour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cf. André Moser/Michael Beusch/Lorenz Kneubühler, Prozessieren vor dem Bundesverwaltungsgericht, in Handbücher für die Anwaltspraxis, Tome X, Bâle 2008, ch. 3.113 p. 154 et les références citées).</w:t>
      </w:r>
    </w:p>
    <w:p>
      <w:r>
        <w:rPr>
          <w:b/>
        </w:rPr>
        <w:t>E. 4.2</w:t>
      </w:r>
    </w:p>
    <w:p>
      <w:r>
        <w:t>Le recourant a implicitement soutenu que l'autorité intimée avait violé son droit d'être entendu en ne retenant pas tous les faits pertinents et en rendant une décision insuffisamment motivée.</w:t>
      </w:r>
    </w:p>
    <w:p>
      <w:r>
        <w:rPr>
          <w:b/>
        </w:rPr>
        <w:t>E. 4.2.1</w:t>
      </w:r>
    </w:p>
    <w:p>
      <w:r>
        <w:t>Le droit d'être entendu, dont la garantie se trouve inscrite à l'art. 29 al. 2 de la Constitution fédérale de la Confédération suisse du 18 avril 1999 (Cst., RS 101), est consacré en procédure administrative fédérale par les art. 29 à 33 (droit d'être entendu stricto sensu) et l'art. 35 PA (droit d'obtenir une décision motivée). Tel qu'il est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4.2.2</w:t>
      </w:r>
    </w:p>
    <w:p>
      <w:r>
        <w:t>En l'espèce, s'il est vrai que la décision de l'autorité de première instance du 9 août 2010 est motivée fort sommairement, il n'en demeure pas moins que, sur la base des indications figurant dans ladite décision, le recourant était en mesure de saisir le fondement essentiel que l'ODM avait retenu à l'appui de sa décision, à savoir que l'interdiction d'entrée a été prononcée en raison d'une atteinte à la sécurité et à l'ordre publics pour séjour et travail sans autorisation et à cause du comportement de l'intéressé (voies de fait, lésions corporelles simples, rixe, n'a pas respecté les délais de départ de Suisse). En effet, il est manifeste que le recourant a pu rédiger un mémoire de recours circonstancié, contestant les motifs - atteinte à la sécurité et à l'ordre publics - sur la base desquels la décision a été prononcée. Cela démontre qu'il a été parfaitement apte à discerner les raisons ayant amené l'autorité inférieure à prendre la décision objet de la présente procédure. En outre, même si l'autorité inférieure avait insuffisamment motivé sa décision, violant ainsi le droit d'être entendu de l'intéressé, ce qui n'est pas le cas en l'espèce, le TAF dispose, comme déjà souligné ci-dessus, d'une pleine cognition et peut revoir aussi bien les questions de droit que les constations de faits établies par l'autorité inférieure ou encore l'opportunité de sa décision (art. 49 PA). Or, le recourant a eu la faculté de présenter tous ses moyens au cours de la présente procédure, tant par rapport à la décision querellée de l'ODM du 9 août 2010 que par rapport au préavis émis par cette autorité le 15 avril 2011. Il a donc eu la possibilité de prendre position de façon adéquate au sujet des éléments qui ont motivé la décision querellée (cf. notamment ATF 127 V 431 consid. 3d/aa, 126 V 130 consid. 2b, 125 I 209 consid. 9a et 116 V 28 consid. 4b; ATAF 2009/53 consid. 7.3 p. 773). Le Tribunal devrait ainsi de toute manière considérer qu'une éventuelle violation du droit d'être entendu par l'autorité inférieure, inexistante en l'espèce, a été guérie devant lui (cf. consid. 4.1 ci-avant).</w:t>
      </w:r>
    </w:p>
    <w:p>
      <w:r>
        <w:rPr>
          <w:b/>
        </w:rPr>
        <w:t>E. 4.2.3</w:t>
      </w:r>
    </w:p>
    <w:p>
      <w:r>
        <w:t>Le moyen tiré d'une motivation insuffisante de la décision entreprise doit ainsi être écarté.</w:t>
      </w:r>
    </w:p>
    <w:p>
      <w:r>
        <w:rPr>
          <w:b/>
        </w:rPr>
        <w:t>E. 5</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6</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w:t>
      </w:r>
    </w:p>
    <w:p>
      <w:r>
        <w:rPr>
          <w:b/>
        </w:rPr>
        <w:t>E. 7</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Cela étant, en l'occurrence, il n'est pas crucial de se pencher sur la problématique du droit dans le temps pour déterminer si la nouvelle teneur de l'art. 67 LEtr est applicable. D'une part, en effet, l'ancienne et la nouvelle version sont largement identiques.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D'autre part, la seule divergence entre l'ancienne et la nouvelle disposition réside dans la durée maximale de la mesure d'interdiction d'entrée, laquelle est nouvellement fixée à cinq ans (cf. art. 67 al. 3 1ère phrase LEtr), sauf menace grave pour la sécurité et l'ordre publics. Or, cette divergence n'a aucune incidence dans la présente affaire, dès lors que le Tribunal est amené, pour des motifs ayant trait la proportionnalité de la mesure, à revoir la durée de l'interdiction d'entrée prononcée par l'autorité inférieure et à fixer celle-ci à cinq ans (cf. consid. 10 ci-après).</w:t>
      </w:r>
    </w:p>
    <w:p>
      <w:r>
        <w:rPr>
          <w:b/>
        </w:rPr>
        <w:t>E. 8.1</w:t>
      </w:r>
    </w:p>
    <w:p>
      <w:r>
        <w:t>Compte tenu de ce qui précède, le Tribunal citera uniquement la nouvelle disposition dans les considérants qui suivent, par mesure de simplification. 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8.2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8.3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8.4</w:t>
      </w:r>
    </w:p>
    <w:p>
      <w:r>
        <w:t>En application de l'art. 81 OASA, les autorités cantonales peuvent déposer une demande auprès de l'ODM afin qu'il ordonne une interdiction d'entrée.</w:t>
      </w:r>
    </w:p>
    <w:p>
      <w:r>
        <w:rPr>
          <w:b/>
        </w:rPr>
        <w:t>E. 8.5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 9.1. En l'occurrence, le 9 août 2010, l'ODM a prononcé à l'encontre d'A._______ une décision d'interdiction d'entrée en Suisse valable jusqu'au 8 août 2020 fondée sur l'ancien art. 67 al. 1 let. a LEtr, lequel a entre-temps été remplacé par l'actuel art. 67 al. 2 let. a LEtr, estimant que l'intéressé avait porté atteinte à la sécurité et l'ordre publics pour séjour et travail sans autorisation et en raison de son comportement (voies de fait, lésions corporelles simples, rixe, n'a pas respecté les délais de départ de Suisse). 9.2. L'examen du dossier amène à constater que, par décision du 12 juin 2008, le SPOP a révoqué l'autorisation de séjour du prénommé, tout en lui fixant un délai d'un mois dès la notification de ce prononcé pour quitter la Suisse, que cette décision lui a été notifiée le 26 juin 2008 et que l'intéressé a ensuite séjourné et travaillé dans ce pays sans aucune autorisation jusqu'à son interpellation le 6 juillet 2009 par la police valaisanne, ce qu'il ne conteste pas (cf. recours du 31 janvier 2011 p. 6). A cet égard, c'est en vain que le recourant tente de minimiser son comportement en insistant sur le fait que, suite à la décision précitée, il s'était rendu avec son épouse auprès du SPOP pour expliquer que leur domicile provisoire séparé n'était pas dû à la suspension de la vie commune, mais à une mésentente entre l'intéressé et son beau-père. En effet, dans sa demande de dérogation aux conditions d'admission du 28 juillet 2009, le recourant a lui-même affirmé que les conjoints s'étaient séparés le 22 janvier 2007 avant de reprendre la vie commune le 13 juillet 2007 jusqu'au 12 septembre 2007, constatant l'échec de la vie conjugale. De plus, sans l'intervention des autorités valaisannes, A._______ aurait, selon toute vraisemblance, poursuivi son séjour et son activité professionnelle en Suisse, en toute illégalité. Il ressort de ce qui précède que l'intéressé a ainsi violé, qui plus est de manière parfaitement consciente, les prescriptions du droit en matière d'étrangers. La présence sur territoire helvétique de sa famille et de sa compagne ne le dispensait nullement de respecter les lois suisses. En conséquence, c'est à bon droit que l'ODM a considéré, dans sa décision du 9 août 2010, que le recourant avait attenté à la sécurité et à l'ordre publics au sens de l'art. 67 al. 1 let. a LEtr (actuellement: de l'art. 67 al. 2 let. a LEtr) et qu'il a prononcé une interdiction d'entrée pour ce motif. 9.3. Il est ainsi superflu d'examiner si l'interdiction d'entrée se justifierait également pour d'autres motifs, à savoir les comportements suivants du recourant. Il apparaît en effet qu'en 2002, le Tribunal des mineurs du canton du Valais a reconnu A._______ coupable de voies de fait et qu'il lui a adressé une réprimande. Le 27 juin 2003, la gendarmerie de Martigny a entendu le prénommé en qualité de prévenu suite à une plainte pour lésions corporelles. Ce dernier a alors expliqué que, le 13 juin 2003, il avait demandé, sur un ton menaçant, un franc à un "jeune" dans le but de s'acheter à boire, que la copine de celui-ci lui avait alors donné la somme requise, qu'il avait ensuite poussé, puis donné un coup de pied, au "jeune" en question et que ce dernier avait alors tenté de lui envoyer un coup de poing, mais qu'il l'avait évité, tout en lui en retournant deux. Le 29 juillet 2004, la gendarmerie de Sion a interrogé A._______ en qualité de prévenu suite à une rixe survenue le 24 juillet 2004 et lors de laquelle des lésions corporelles avaient été causées au moyen d'un couteau, voire d'autres objets dangereux. Lors de son audition, l'intéressé a reconnu avoir participé à cette rixe, mais uniquement à mains nues. Le 12 mars 2005, l'autorité précitée a entendu le prénommé en qualité de prévenu suite à un vol à l'étalage commis le 11 mars 2005. Celui-ci a alors déclaré avoir "flashé" sur une veste dans une boutique et avoir décidé de la dérober, dès lors qu'elle lui plaisait et qu'il n'avait pas d'argent. Au vu de ce qui précède, le Tribunal constate que le recourant ne paraît pas dénué de tout reproche. Certes, l'intéressé a fait valoir que son casier judiciaire était vierge. Or, il sied de relever qu'en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(cf. arrêt du Tribunal administratif fédéral C-1444/2009 du 25 février 2010 consid. 5.2.1). 9.4. Quoi qu'il en soit, ces considérations ne font que renforcer les conclusions résultant du considérant 9.2, de sorte qu'il n'est pas nécessaire de les développer plus avant. Le Tribunal parvient ainsi à la conclusion que c'est à bon droit que l'ODM a retenu, à la charge du recourant, les motifs mentionnés dans la décision dont est recours, laquelle est ainsi confirmée dans son principe.</w:t>
      </w:r>
    </w:p>
    <w:p>
      <w:r>
        <w:rPr>
          <w:b/>
        </w:rPr>
        <w:t>E. 10.1</w:t>
      </w:r>
    </w:p>
    <w:p>
      <w:r>
        <w:t>Il reste à examiner si la mesure d'éloignement prise par l'ODM, d'une durée de dix ans, satisfait aux principes de la proportionnalité et de l'égalité de traitement.</w:t>
      </w:r>
    </w:p>
    <w:p>
      <w:r>
        <w:rPr>
          <w:b/>
        </w:rPr>
        <w:t>E. 10.2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Tribunal administratif fédéral C-7645/2010 du 31 août 2011, consid. 7.2 et les références citées).</w:t>
      </w:r>
    </w:p>
    <w:p>
      <w:r>
        <w:rPr>
          <w:b/>
        </w:rPr>
        <w:t>E. 10.3</w:t>
      </w:r>
    </w:p>
    <w:p>
      <w:r>
        <w:t>S'agissant de l'intérêt public, il est à noter que l'interdiction d'entrée prononcée à l'endroit du recourant est une mesure administrative de contrôle qui tend à le tenir éloigné de Suisse. Or, il s'impose de relever que, suite à la décision du SPOP du 12 juin 2008, le recourant s'est rendu coupable d'infractions aux prescriptions de police des étrangers (séjour et travail sans autorisation), qu'en 2002, le Tribunal des mineurs du canton du Valais l'a reconnu coupable de voies de fait et lui a adressé une réprimande et qu'entre 2003 et 2005, il a été respectivement entendu en qualité de prévenu suite à une plainte pour lésions corporelles, suite à une rixe et suite à un vol à l'étalage, étant encore précisé que s'il n'a jamais été condamné, l'intéressé a néanmoins admis les faits reprochés lors de ses différents interrogatoires par la police valaisanne. Au demeurant, dans son pourvoi du 31 janvier 2011, A._______ a allégué qu'il venait sporadiquement en Suisse pour rendre visite à sa compagne, alors qu'il fait l'objet d'une décision d'interdiction d'entrée dans ce pays. Ainsi, le prénommé ne paraît manifestement pas avoir pris pleinement conscience de la nécessité de changer d'attitude.</w:t>
      </w:r>
    </w:p>
    <w:p>
      <w:r>
        <w:rPr>
          <w:b/>
        </w:rPr>
        <w:t>E. 10.4</w:t>
      </w:r>
    </w:p>
    <w:p>
      <w:r>
        <w:t>S'agissant de l'intérêt privé de l'intéressé à pouvoir revenir librement en Suisse, il apparaît que celui-ci peut se prévaloir d'attaches personnelles dans ce pays, où il est arrivé avec sa famille en 1999, où il a été mis au bénéfice de l'admission provisoire de 2000 à 2005, où il a été titulaire d'une autorisation de séjour par regroupement familial de 2006 à 2008 et où résident sa mère, ses frères et soeurs, ainsi que son actuelle compagne. Dans son courrier du 5 mars 2012, A._______ a indiqué que la procédure de mariage introduite auprès de l'arrondissement de l'état civil de Bernex était restée sans suite en raison de la présente procédure, que les fiancés se voyaient régulièrement à son domicile au Kosovo et qu'ils se marieraient, au besoin, dans ce pays. Dans sa lettre du 4 mai 2012, l'intéressé a communiqué que sa fiancée était enceinte de ses oeuvres, de sorte qu'ils souhaitaient convoler en justes noces. Dans ces circonstances, il convient tout au plus de rappeler, comme déjà mentionné dans la décision incidente du 14 février 2011, qu'en cas de mariage, il sera loisible au prénommé de solliciter des autorités cantonales de police des étrangers compétentes la délivrance d'une autorisation de séjour au titre du regroupement familial. Le cas échéant, dites autorités seront en effet tenues de procéder à un examen de sa situation nonobstant l'interdiction d'entrée en Suisse prononcée à son endroit (cf. arrêts du Tribunal administratif fédéral C-6528/2008 du 14 mai 2009 consid. 7.3.3 et C-48/2006 du 26 octobre 2007 consid. 5.2.1, et la jurisprudence citée). Par la même occasion, il pourra demander à l'ODM, en raison de la survenance de ce fait nouveau (mariage), la reconsidération et, partant, la levée de l'interdiction d'entrée prononcée à son endroit. En l'état, les fiancés gardent la possibilité de se rencontrer au Kosovo et le recourant pourrait également, le cas échéant, solliciter une suspension de l'interdiction d'entrée au sens de l'art. 67 al. 5 LEtr, si des motifs importants devaient justifier sa présence temporaire en Suisse.</w:t>
      </w:r>
    </w:p>
    <w:p>
      <w:r>
        <w:rPr>
          <w:b/>
        </w:rPr>
        <w:t>E. 10.5</w:t>
      </w:r>
    </w:p>
    <w:p>
      <w:r>
        <w:t>Tenant compte de l'ensemble des éléments objectifs et subjectifs de la cause, le TAF considère que l'interdiction d'entrée en Suisse prise par l'autorité inférieure le 9 août 2010 est nécessaire et adéquate. Il appert toutefois que la durée de cette mesure, laquelle a été prononcée du fait que l'intéressé a porté atteinte à la sécurité et l'ordre publics pour travail et séjour sans autorisation pendant un peu plus d'un an et en raison de son comportement, alors qu'il était encore mineur, est excessive. Il convient par conséquent de réduire cette durée en vertu des principes de proportionnalité et d'égalité de traitement et de limiter les effets de cette mesure à cinq ans, compte tenu également de la situation personnelle du recourant et de l'ancienneté de certains faits qui lui sont reprochés.</w:t>
      </w:r>
    </w:p>
    <w:p>
      <w:r>
        <w:rPr>
          <w:b/>
        </w:rPr>
        <w:t>E. 11</w:t>
      </w:r>
    </w:p>
    <w:p>
      <w:r>
        <w:t>Enfin, dans la mesure où le dossier est complet et l'état de fait pertinent suffisamment établi, le TAF peut se dispenser de procéder à des mesures d'instruction complémentaires (telle que l'audition personnelle du recourant [cf. requête formulée en ce sens dans le recours du 31 janvier 2011 p. 5 in fine]) dans le cadre de la présente cause (cf. ATF 134 I 140 consid. 5.3, 131 I 153 consid. 3, 130 II 425 consid. 2.1 et jurisprudence citée). Au demeurant, l'art. 29 al. 2 Cst. ne confère pas un droit inconditionnel à la tenue d'une audience et donc à s'exprimer oralement (cf. ATF 134 précité; 130 II 425 précité et jurisprudence mentionnée; cf. aussi André Moser, Michael Beusch et Lorenz Kneubühler, op. cit., ch. 3.86 p. 144).</w:t>
      </w:r>
    </w:p>
    <w:p>
      <w:r>
        <w:rPr>
          <w:b/>
        </w:rPr>
        <w:t>E. 12</w:t>
      </w:r>
    </w:p>
    <w:p>
      <w:r>
        <w:t>Le recours est ainsi partiellement admis, dans la mesure où il est recevable, et la décision de l'ODM du 9 août 2010 est réformée en ce sens que les effets de l'interdiction d'entrée sont limités au 8 août 2015. En conséquence, il y a lieu de mettre des frais réduits, d'un montant de Fr. 600.-,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Fr. 500.- (TVA éventuelle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