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C-6617/2010 vom 27. Juni 2012</w:t>
      </w:r>
    </w:p>
    <w:p>
      <w:r>
        <w:t>Bundesverwaltungsgericht, 2012-06-27, FR</w:t>
      </w:r>
    </w:p>
    <w:p>
      <w:r>
        <w:rPr>
          <w:b/>
        </w:rPr>
        <w:t xml:space="preserve">Quelle: </w:t>
      </w:r>
      <w:r>
        <w:t>https://mcp.opencaselaw.ch/entscheid/bvger_C-6617_2010</w:t>
      </w:r>
    </w:p>
    <w:p>
      <w:r>
        <w:t>FR: TAF C-6617/2010 du 27 juin 2012</w:t>
      </w:r>
    </w:p>
    <w:p>
      <w:r>
        <w:t>IT: TAF C-6617/2010 del 27 giugno 2012</w:t>
      </w:r>
    </w:p>
    <w:p>
      <w:pPr>
        <w:pStyle w:val="Heading2"/>
      </w:pPr>
      <w:r>
        <w:t>Regeste</w:t>
      </w:r>
    </w:p>
    <w:p>
      <w:r>
        <w:t>Révision de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w:t>
      </w:r>
    </w:p>
    <w:p>
      <w:r>
        <w:rPr>
          <w:b/>
        </w:rPr>
        <w:t>E. 1.2</w:t>
      </w:r>
    </w:p>
    <w:p>
      <w:r>
        <w:t>En l'espèce, la Cour de céans est dès lors compétente pour connaître de la présente cause.</w:t>
      </w:r>
    </w:p>
    <w:p>
      <w:r>
        <w:rPr>
          <w:b/>
        </w:rPr>
        <w:t>E. 1.3</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1.4</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1.5</w:t>
      </w:r>
    </w:p>
    <w:p>
      <w:r>
        <w:t>En l'espèce, le recours est recevable, vu qu'il a été déposé en temps utile et dans les formes requises par la loi (art. 60 al. 1 LPGA et 52 PA), et que l'avance sur les frais de procédure a été dûment acquittée.</w:t>
      </w:r>
    </w:p>
    <w:p>
      <w:r>
        <w:rPr>
          <w:b/>
        </w:rPr>
        <w:t>E. 2.1</w:t>
      </w:r>
    </w:p>
    <w:p>
      <w:r>
        <w:t>L'Accord entre la Suisse et la Communauté européenne et ses États membres sur la libre circulation des personnes du 21 juin 1999 (ALCP, RS 0.142.112.681), est entré en vigueur le 1er juin 2002. À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États (art. 6 du Règlement), et enfin le Règlement (CEE) n° 574/72 du Conseil du 21 mars 1972, relatif à l'application du Règlement (CEE) n° 1408/71 (RS 0.831.109.268.11 ; textes en vigueur pour la Suisse jusqu'au 31 mars 2012). Selon l'art. 3 du Règlement (CEE) n° 1408/71, les ressortissants des États membres de la Communauté européenne et les ressortissants suisses bénéficient de l'égalité de traitement.</w:t>
      </w:r>
    </w:p>
    <w:p>
      <w:r>
        <w:rPr>
          <w:b/>
        </w:rPr>
        <w:t>E. 2.2</w:t>
      </w:r>
    </w:p>
    <w:p>
      <w:r>
        <w:t>Selon l'art. 20 ALCP,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exclusivement du droit interne suisse (art. 40 par. 4 du règlement 1408/71).</w:t>
      </w:r>
    </w:p>
    <w:p>
      <w:r>
        <w:rPr>
          <w:b/>
        </w:rPr>
        <w:t>E. 2.3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w:t>
      </w:r>
    </w:p>
    <w:p>
      <w:r>
        <w:t>De jurisprudence constante l'octroi d'une rente étrangère d'invalidité ne préjuge pas l'appréciation de l'invalidité selon la loi suisse (arrêt du Tribunal fédéral des assurances I 435/02 du 4 février 2003 consid. 2; Revue à l'intention des caisses de compensation [RCC] 1989 p. 330). Même après l'entrée en vigueur de l'ALCP, le degré d'invalidité d'un assuré qui prétend une rente de l'assurance invalidité suisse est déterminé exclusivement d'après le droit suisse (ATF 130 V 257 consid. 2.4).</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 Ne sont en revanche pas applicables les dispositions de la 6ème révision de la LAI (premier volet) en vigueur dès le 1er janvier 2012 (RO 2011 5659, FF 2010 1647). En ce qui concerne les faits déterminants, selon la jurisprudence, le Tribunal de céans doit se limiter à examiner la situation de fait existant jusqu'à la date de la décision attaquée (ATF 130 V 445 consid. 1.2).</w:t>
      </w:r>
    </w:p>
    <w:p>
      <w:r>
        <w:rPr>
          <w:b/>
        </w:rPr>
        <w:t>E. 5</w:t>
      </w:r>
    </w:p>
    <w:p>
      <w:r>
        <w:t>Le recourant conteste la validité matérielle de la décision de l'OAIE du 5 mai 2010, dans la mesure où il prétend avoir droit à une rente entière d'invalidité.</w:t>
      </w:r>
    </w:p>
    <w:p>
      <w:r>
        <w:rPr>
          <w:b/>
        </w:rPr>
        <w:t>E. 6</w:t>
      </w:r>
    </w:p>
    <w:p>
      <w:r>
        <w:t>Tout requérant doit remplir cumulativement les conditions suivantes pour avoir droit à une rente de l'assurance-invalidité suisse: - être invalide au sens de la LPGA/LAI et - avoir compté au moins trois années de cotisations à l'AVS/AI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l'espèce, le recourant a versé des cotisations à l'AVS/AI suisse pendant plus de 3 ans au total (pce 108). Partant il remplit la condition relative à la durée de cotisations. Il reste dès lors à examiner s'il est invalide au sens de la LAI.</w:t>
      </w:r>
    </w:p>
    <w:p>
      <w:r>
        <w:rPr>
          <w:b/>
        </w:rPr>
        <w:t>E. 7.1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7.2</w:t>
      </w:r>
    </w:p>
    <w:p>
      <w:r>
        <w:t>Un assuré a droit à un quart de rente s'il est invalide à 40 % au moins, à une demi-rente s'il est invalide à 50 % au moins, à trois-quarts de rente s'il est invalide à 60 % au moins et à une rente entière s'il est invalide à 70 % au moins (art. 28 al. 2 LAI). Suite à l'entrée en vigueur le 1er juin 2002 de l'Accord bilatéral entre la Suisse et la Communauté européenne, la restriction prévue à l'art. 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w:t>
      </w:r>
    </w:p>
    <w:p>
      <w:r>
        <w:rPr>
          <w:b/>
        </w:rPr>
        <w:t>E. 7.3</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w:t>
      </w:r>
    </w:p>
    <w:p>
      <w:r>
        <w:rPr>
          <w:b/>
        </w:rPr>
        <w:t>E. 7.4</w:t>
      </w:r>
    </w:p>
    <w:p>
      <w:r>
        <w:t>Par incapacité de travail, l'on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8.1</w:t>
      </w:r>
    </w:p>
    <w:p>
      <w:r>
        <w:t>Selon les questionnaires aux actes, le recourant a dû interrompre son activité d'ouvrier polyvalent et de chauffeur commissionnaire exercée à temps plein, 40 heures par semaine, pour un salaire horaire de EUR 11.7729 en date du 26 janvier 2009. Le Tribunal de céans peut donc retenir qu'au moins jusqu'au 26 janvier 2009, le recourant n'a pas présenté d'invalidité au sens des dispositions légales suisses.</w:t>
      </w:r>
    </w:p>
    <w:p>
      <w:r>
        <w:rPr>
          <w:b/>
        </w:rPr>
        <w:t>E. 8.2</w:t>
      </w:r>
    </w:p>
    <w:p>
      <w:r>
        <w:t>Pour la période successive, et en l'absence de données économiques, il faut donc se fonder sur la documentation médicale. En effet,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w:t>
      </w:r>
    </w:p>
    <w:p>
      <w:r>
        <w:rPr>
          <w:b/>
        </w:rPr>
        <w:t>E. 9.1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9.2</w:t>
      </w:r>
    </w:p>
    <w:p>
      <w:r>
        <w:t>La jurisprudence a posé des lignes directrices en ce qui concerne la manière d'apprécier certains types d'expertise ou de rapports médicaux. Au sujet des rapports établis par les médecins traitants, le juge peut et doit tenir compte du fait que selon l'expérience, le médecin traitant est généralement enclin, en cas de doute, à prendre parti pour son patient en F.______on de la relation de confiance qui l'unit à ce dernier (ATF 125 V 351 consid. 3b/cc et les références). En ce qui concerne les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w:t>
      </w:r>
    </w:p>
    <w:p>
      <w:r>
        <w:rPr>
          <w:b/>
        </w:rPr>
        <w:t>E. 10.1</w:t>
      </w:r>
    </w:p>
    <w:p>
      <w:r>
        <w:t>Il ressort des pièces médicales au dossier que le recourant souffre essentiellement d'un syndrome lombospondylogène radiculaire chronique dû à des altérations dégénératives et à des atteintes des disques, d'un status après arthrodèse L4/5 et d'une gonarthrose bilatérale.</w:t>
      </w:r>
    </w:p>
    <w:p>
      <w:r>
        <w:rPr>
          <w:b/>
        </w:rPr>
        <w:t>E. 10.2</w:t>
      </w:r>
    </w:p>
    <w:p>
      <w:r>
        <w:t>En ce qui concerne les conséquences des affections diagnostiquées sur la capacité de travail de l'assuré, il faut relever que le seul document médical au dossier qui s'exprime sur cette question est le rapport E 213 du 30 novembre 2009. Or, le Dr E.______, de la ... du Luxembourg, considère que le recourant n'est plus apte à travailler dans son ancienne activité mais aussi qu'il n'est pas susceptible d'être réadapté, l'invalidité le rendant incapable d'exercer une profession quelconque. A l'examen objectif, il relève une impossibilité de marcher sur les talons, une antéflexion du tronc bloqué, une manoeuvre de Lasègue positive à droite vers 50°, l'abolition des réflexes au membre inférieur droit ainsi qu'une parésie des releveurs et des extenseurs du pied droit. De son côté, le médecin de l'OAIE a retenu une incapacité de travail de 70 % dès le 26 janvier 2009 dans des activités de substitution qui tiennent compte des limitations dues à ses pathologies, à savoir des activités qui ne l'exposent pas à des nuisances diverses, aux travaux lourds, aux ports de charge supérieure à 7 kg, au froid et à l'humidité, ni des activités trop sédentaires. Le recourant quant à lui conteste la possibilité d'exercer des activités de substitution.</w:t>
      </w:r>
    </w:p>
    <w:p>
      <w:r>
        <w:rPr>
          <w:b/>
        </w:rPr>
        <w:t>E. 10.3</w:t>
      </w:r>
    </w:p>
    <w:p>
      <w:r>
        <w:t>Au vu de ce qui précède, le Tribunal considère que le rapport du Dr F.______, médecin de l'OAIE spécialiste en médecine interne, se limitant à relever que les troubles dégénératifs de la colonne vertébrale permettraient l'exercice d'une activité de substitution à 70 % n'est pas convaincant : il ne contient en effet aucune ébauche d'explication qui justifierait de s'écarter des conclusions du rapport E 213. A ce propos il faut aussi relever que la dernière activité exercée par le recourant d'ouvrier polyvalent/chauffeur-commissionnaire avait déjà été considérée comme légère par l'employeur. L'avis du service médial de l'OAIE n'est pas non plus convaincant pour une autre raison. Selon une jurisprudence constante, la qualification du médecin joue un rôle déterminant dans l'appréciation de documents médicaux. Or, l'administration et le juge appelés à se déterminer en matière d'assurances sociales doivent pouvoir se fonder sur les connaissances spéciales de l'auteur d'un certificat médical servant de base à leurs réflexions. Il s'ensuit que le médecin rapporteur ou pour le moins le médecin signant le rapport médical pour l'OAIE doit disposer d'une spécialisation dans la discipline médicale concernée par une atteinte alléguée comme déterminante (arrêts du Tribunal fédéral 9C_736/2009 du 26 janvier 2010 consid. 2.1 et les références; 9C_699/2009 du 24 février 2010 consid. 4.4 s.; arrêt du Tribunal administratif fédéral C-2169/2008 du 9 août 2010 consid. 3.3). En l'espèce, ni le médecin de l'organisme d'assurance luxembourgeois ni le Dr F.______ ne sont des spécialistes en orthopédie.</w:t>
      </w:r>
    </w:p>
    <w:p>
      <w:r>
        <w:rPr>
          <w:b/>
        </w:rPr>
        <w:t>E. 10.4</w:t>
      </w:r>
    </w:p>
    <w:p>
      <w:r>
        <w:t>Le Tribunal ne saurait par conséquent raisonnablement confirmer la décision d'attribution d'une demi-rente d'invalidité sur la base de cette documentation lacunaire. L'art. 61 PA permet, bien qu'exceptionnellement, de renvoyer la cause à l'autorité inférieure avec des instructions impératives, notamment lorsqu'elle n'a pas instruit une question déterminante pour l'examen du droit aux prestations (ATF 137 V 210 consid. 4.4.1.4). En l'espèce, le renvoi se justifie, dès lors que l'instruction était manifestement insuffisante en ce qui concerne l'affection orthopédique. Le recours doit donc être partiellement admis, la décision entreprise annulée et le dossier renvoyé à l'OAIE afin qu'il établisse par tous les moyens utiles, notamment une expertise orthopédique, les informations nécessaires à une évaluation de la capacité de travail de l'intéressé dans des activités de substitution raisonnablement exigibles, fixe le taux d'invalidité sur la base d'une comparaison de revenu et rende, après avoir accordé au recourant le droit d'être entendu, une nouvelle décision.</w:t>
      </w:r>
    </w:p>
    <w:p>
      <w:r>
        <w:rPr>
          <w:b/>
        </w:rPr>
        <w:t>E. 11.1</w:t>
      </w:r>
    </w:p>
    <w:p>
      <w:r>
        <w:t>Vu l'issue de la cause, il n'est pas perçu de frais de procédure (art. 63 al. 1 et 2 PA ; art. 6 let. b du règlement du 21 février 2008 concernant les frais, dépens et indemnités fixés par le Tribunal administratif fédéral [FITAF, RS 173.320.2]). L'avance de frais de Fr. 400.-- versée par le recourant lui sera remboursée. Vu l'issue de la procédure et compte tenu du fait que le recourant a agi en étant représenté par un mandataire professionnel, il lui est alloué une indemnité de dépens de Fr. 2'500.-, laquelle est fixée en fonction de l'importance et de la difficulté de la cause, ainsi que du travail qu'elle a nécessité et du temps que le mandataire pouvait y consacrer (art. 64 al. 1 PA et art. 7 ss FITAF) (dispositif à la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