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C-6614/2009 vom 29. August 2011</w:t>
      </w:r>
    </w:p>
    <w:p>
      <w:r>
        <w:t>Bundesverwaltungsgericht, 2011-08-29, DE</w:t>
      </w:r>
    </w:p>
    <w:p>
      <w:r>
        <w:rPr>
          <w:b/>
        </w:rPr>
        <w:t xml:space="preserve">Quelle: </w:t>
      </w:r>
      <w:r>
        <w:t>https://mcp.opencaselaw.ch/entscheid/bvger_C-6614_2009</w:t>
      </w:r>
    </w:p>
    <w:p>
      <w:r>
        <w:t>FR: TAF C-6614/2009 du 29 août 2011</w:t>
      </w:r>
    </w:p>
    <w:p>
      <w:r>
        <w:t>IT: TAF C-6614/2009 del 29 agosto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BGE 135 II 369 E. 3.3).</w:t>
      </w:r>
    </w:p>
    <w:p>
      <w:r>
        <w:rPr>
          <w:b/>
        </w:rPr>
        <w:t>E. 3</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in der vorliegenden Konstellation mit den obgenannten Grundsätzen vereinbar (vgl. BBl 2009 8896). Da der bisherige Art. 67 Abs. 1 Bst. a AuG mit dem neuen Art. 67 Abs. 2 Bst. a AuG identisch ist und vorliegend kein Einreiseverbot mit einer Dauer von mehr als fünf Jahren zur Diskussion steht, ändert sich für die Beschwerdeführerin im Ergebnis ohnehin nichts.</w:t>
      </w:r>
    </w:p>
    <w:p>
      <w:r>
        <w:rPr>
          <w:b/>
        </w:rPr>
        <w:t>E. 4.2</w:t>
      </w:r>
    </w:p>
    <w:p>
      <w:r>
        <w:t>Die öffentliche Sicherheit und Ordnung im Sinne von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Somit kann - entgegen der Auffassung der Beschwerdeführerin - eine Zuwiderhandlung gegen ausländerrechtliche Bestimmungen, als Teil der objektiven Rechtsordnung, ein Einreiseverbot nach sich ziehen, jedoch nicht als Sanktion für vergangenes Fehlverhalten, sondern als Massnahme zur Abwendung künftiger Störungen der öffentlichen Sicherheit und Ordnung (vgl. BBl 2002 3813).</w:t>
      </w:r>
    </w:p>
    <w:p>
      <w:r>
        <w:rPr>
          <w:b/>
        </w:rPr>
        <w:t>E. 4.3</w:t>
      </w:r>
    </w:p>
    <w:p>
      <w:r>
        <w:t>In Bezug auf die Verfehlungen, derentwegen die Beschwerdeführerin straf- und ausländerrechtlich belangt wurde,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C-4639/2010 vom 15. Februar 2011 E. 5.3. mit Hinweis).</w:t>
      </w:r>
    </w:p>
    <w:p>
      <w:r>
        <w:rPr>
          <w:b/>
        </w:rPr>
        <w:t>E. 5.1</w:t>
      </w:r>
    </w:p>
    <w:p>
      <w:r>
        <w:t>Sofern sie keiner Erwerbstätigkeit nachgehen, benötigen Auslän-derinnen und Ausländer für einen Aufenthalt in der Schweiz von bis zu drei Monaten keine Bewilligung (Art. 10 Abs. 1 AuG). Art. 9 Abs. 1 VZAE hält präzisierend fest, dass Ausländerinnen und Ausländer ohne Erwerbstätigkeit in der Schweiz für einen Aufenthalt von bis zu drei Monaten innerhalb eines Zeitraums von sechs Monaten nach der (erstmaligen) Einreise keine Bewilligung benötigen und sich nicht anmelden müssen (bewilligungsfreier Aufenthalt), wobei die Einreisevoraussetzungen nach Art. 5 AuG während des gesamten bewilligungsfreien Aufenthalts erfüllt sein müssen (Art. 9 Abs. 2 VZAE). Sofern hingegen ein längerer Aufenthalt ohne Erwerbstätigkeit beabsichtigt ist, ist dafür eine Bewilligung erforderlich, welche vor der Einreise in die Schweiz bei der am vorgesehenen Wohnort zuständigen Behörde zu beantragen ist (vgl. Art. 10 Abs. 2 AuG).</w:t>
      </w:r>
    </w:p>
    <w:p>
      <w:r>
        <w:rPr>
          <w:b/>
        </w:rPr>
        <w:t>E. 5.2</w:t>
      </w:r>
    </w:p>
    <w:p>
      <w:r>
        <w:t>Der Beschwerdeführerin wird in der angefochtenen Verfügung illegale Einreise und illegaler Aufenthalt vorgeworfen. Gemäss den gesetzlichen Vorschriften hat die betroffene Person den Zeitpunkt der (ersten) Einreise mit geeigneten Unterlagen nachzuweisen (Art. 9 Abs. 1 in fine VZAE). Bei der polizeilichen Befragung vom 21. September 2009 machte die Beschwerdeführerin geltend, sie habe nicht gewusst, dass sie sich nach drei Monaten bewilligungsfreiem Aufenthalt in der Schweiz während mindestens drei Monaten im Ausland hätte aufhalten sollen. Dieses Vorbringen, der Hinweis der Fremdenpolizei der Stadt, dass die Beschwerdeführerin die Schweiz bis spätestens am 3. Juli 2009 zu verlassen hätte (vgl. Schreiben an die Gastgeberin vom 26. Mai 2009), sowie die Aussage der Gastgeberin, wonach es ihr erst anlässlich der letzten Domizilkontrolle durch die städtische Migrationsbehörde vom 17. September 2009 (bei der sich allerdings nur die Gastgeberin in der Wohnung befand) klar geworden sei, dass ihr Gast erst nach drei Monaten und folglich ab Oktober 2009 wieder hätte in die Schweiz einreisen dürfen, liessen darauf schliessen, dass sich die Beschwerdeführerin - im Rahmen ihres bewilligungsfreien (Vor-)Aufenthaltes in der Schweiz - während vollen drei Monaten bei ihrer Bekannten in Bern aufgehalten hatte. Von diesem Sachverhalt ging im Übrigen auch die Strafbehörde aus, welche infolgedessen den Aufenthalt der Beschwerdeführerin ab ihrer Wiedereinreise in die Schweiz im August 2009 als rechtswidrig bezeichnete (vgl. Strafmandat vom 25. November 2009). Dieses Strafmandat blieb unangefochten und erwuchs in Rechtskraft, weshalb grundsätzlich darauf abzustellen wäre. Anlässlich der ersten Domizilkontrolle am Wohnort ihrer Gastgeberin vom 26. Mai 2009 brachte die Beschwerdeführerin gegenüber der Fremdenpolizei der Stadt Bern hingegen vor, sie befinde sich erst seit zwei bis drei Wochen in der Schweiz, ohne allerdings ihre Behauptung entsprechend belegen zu können. Erst auf Beschwerdeebene wurde eine auf sie und den 16. Mai 2009 ausgestellte serbische Busfahrkarte nachgereicht. Aufgrund dieses Beweismittels ist in casu davon auszugehen, dass die Beschwerdeführerin nicht vor dem 17. Mai 2009 in die Schweiz eingereist war und somit die bewilligungsfreie Aufenthaltsdauer von drei Monaten bei ihrer Ausreise am 3. Juli 2009 noch nicht voll ausgeschöpft hatte. Ausgehend von einer Wiedereinreise am 9. August 2009 durfte sie sich somit noch bis zum 19. September 2009 ohne Bewilligung in der Schweiz aufhalten. Ihr weiterer Aufenthalt in der Schweiz erweist sich dagegen - wie die Vorinstanz zu Recht festgestellt hat - als rechtswidrig im Sinne von Art. 115 Abs. 1 Bst. b AuG. Sie hat somit gegen ausländerrechtliche Vorschriften von zentraler Bedeutung verstossen. Die Voraussetzungen für ein Einreiseverbot gemäss Art. 67 Abs. 1 Bst. a AuG in der Fassung vom 1. Januar 2008 bzw. Art. 67 Abs. 2 Bst. a AuG in der Fassung vom 1. Januar 2011 sind somit fraglos erfüllt. Die Verhängung der Fernhaltemassnahme erweist sich damit in grundsätzlicher Hinsicht als gerechtfertigt, auch wenn in casu keine illegale (Wieder-)Einreise vorliegt.</w:t>
      </w:r>
    </w:p>
    <w:p>
      <w:r>
        <w:rPr>
          <w:b/>
        </w:rPr>
        <w:t>E. 6.1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6.2</w:t>
      </w:r>
    </w:p>
    <w:p>
      <w:r>
        <w:t>Das Fehlverhalten der Beschwerdeführerin wiegt objektiv nicht leicht. Es beinhaltet die Missachtung ausländerrechtlicher Normen, denen im Interesse einer funktionierenden Rechtsordnung eine zentrale Bedeutung zukommt. Aber auch was die subjektive Seite anbelangt, ist das Verhalten der Beschwerdeführerin nicht zu bagatellisieren. Der Umstand, dass sie den bewilligungsfreien Aufenthalt von drei Monaten innerhalb eines Zeitraums von sechs Monaten lediglich um einige Tage überschritten hat, dürfte einzig und allein auf die rigorosen und wiederholten Domizilkontrollen seitens der Fremdenpolizei der Stadt Bern zurückzuführen sein. Erstellt ist, dass sich die Beschwerdeführerin bewusst diesen Kontrollen entziehen wollte, indem sie sich in der Wohnung ihrer Gastgeberin unter einem ausziehbaren Bett versteckt hatte. Damit hat sie sich vorsätzlich über die einschlägigen ausländerrechtlichen Normen hinweggesetzt. Zu ihren Gunsten gilt es allerdings zu berücksichtigen, dass in casu - entgegen der ursprünglichen Ansicht der Vorinstanz - der Tatbestand der illegalen (Wieder-)Einreise nicht erfüllt ist.</w:t>
      </w:r>
    </w:p>
    <w:p>
      <w:r>
        <w:rPr>
          <w:b/>
        </w:rPr>
        <w:t>E. 6.3</w:t>
      </w:r>
    </w:p>
    <w:p>
      <w:r>
        <w:t>Eine Abwägung der gegenläufigen öffentlichen und (nicht näher präzisierten) privaten Interessen führt zum Ergebnis, dass das Einreiseverbot dem Grundsatze nach zu bestätigen ist, in Bezug auf die ausgesprochene Dauer jedoch als unangemessen lang erscheint. Angesichts der konkreten Umstände ist davon auszugehen, dass dem öffentlichen Interesse an der Fernhaltung der Beschwerdeführerin bis zum Zeitpunkt dieses Entscheides hinreichend Rechnung getragen wird.</w:t>
      </w:r>
    </w:p>
    <w:p>
      <w:r>
        <w:rPr>
          <w:b/>
        </w:rPr>
        <w:t>E. 7</w:t>
      </w:r>
    </w:p>
    <w:p>
      <w:r>
        <w:t>Aus diesen Erwägungen ergibt sich, dass das auf zwei Jahre bemessene Einreiseverbot Bundesrecht verletzt (vgl. Art. 49 VwVG). Die Beschwerde ist daher teilweise gutzuheissen und das gegen die Beschwerdeführerin verhängte Einreiseverbot auf das Datum des Urteils zu befristen.</w:t>
      </w:r>
    </w:p>
    <w:p>
      <w:r>
        <w:rPr>
          <w:b/>
        </w:rPr>
        <w:t>E. 8</w:t>
      </w:r>
    </w:p>
    <w:p>
      <w:r>
        <w:t>Bei diesem Ausgang des Verfahrens sind die (ermässigten) Verfahrenskosten der Beschwerdeführerin aufzuerlegen und mit dem geleisteten Kostenvorschuss zu verrechnen (Art. 63 Abs. 1 VwVG i.V.m. Art. 1, Art. 2 und Art. 3 Bst. b des Reglements vom 21. Februar 2008 über die Kosten und Entschädigungen vor dem Bundesverwaltungsgericht [VGKE, SR 173.320.2]). Eine Parteientschädigung ist nicht auszurichten, da der Beschwerdeführerin keine verhältnismässig hohen Kosten entstanden sind (Art. 64 Abs. 1 VwVG und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