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C-6614/2008 vom 5. Februar 2010</w:t>
      </w:r>
    </w:p>
    <w:p>
      <w:r>
        <w:t>Bundesverwaltungsgericht, 2010-02-05, DE</w:t>
      </w:r>
    </w:p>
    <w:p>
      <w:r>
        <w:rPr>
          <w:b/>
        </w:rPr>
        <w:t xml:space="preserve">Quelle: </w:t>
      </w:r>
      <w:r>
        <w:t>https://mcp.opencaselaw.ch/entscheid/bvger_C-6614_2008</w:t>
      </w:r>
    </w:p>
    <w:p>
      <w:r>
        <w:t>FR: TAF C-6614/2008 du 5 février 2010</w:t>
      </w:r>
    </w:p>
    <w:p>
      <w:r>
        <w:t>IT: TAF C-6614/2008 del 5 febbraio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26. September 2008. Die Beschwerdeführerin hat frist- und formgerecht (Art. 60 ATSG) Beschwerde erhoben. Durch die Verfügung ist sie besonders berührt und hat ein schutzwürdiges Interesse an deren Änderung oder Aufhebung (Art. 59 ATSG). Nachdem auch der einverlangte Kostenvorschuss fristgerecht geleistet wurde,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Die Beschwerdeführerin ist Staatsangehörige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insbesondere dessen Anhang II, der die Koordinierung der Systeme der sozialen Sicherheit regelt, anwendbar ist (vgl. Art. 80a IVG, in Kraft seit dem 1. Juni 2002).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Verordnung über die Invalidenversicherung vom 17. Januar 1961 (IVV, SR 831.201).</w:t>
      </w:r>
    </w:p>
    <w:p>
      <w:r>
        <w:rPr>
          <w:b/>
        </w:rPr>
        <w:t>E. 4.1</w:t>
      </w:r>
    </w:p>
    <w:p>
      <w:r>
        <w:t>Im Folgenden zu prüfen ist, ob die Beschwerdeführerin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26. September 2008) eingetretenen Sachverhalt abgestellt wird (BGE 132 V 2 E. 1, 129 V 4 E. 1.2 mit Hinweisen), sind im vorliegenden Fall bis zum 31. Dezember 2007 die auf den 1. Januar 2004 in Kraft getretenen Bestimmungen der 4. IV-Revision anwendbar, und ab dem 1. Januar 2008 die zu diesem Zeitpunkt in Kraft getretenen Bestimmungen der 5. IV-Revision (AS 2007 5129 bzw. AS 2007 5155); denn ein allfälliger Leistungsanspruch ist für die Zeit vor einem Rechtswechsel aufgrund der bisherigen und ab diesem Zeitpunkt nach den neuen Normen zu prüfen (pro rata temporis; BGE 130 V 445). Im Übrigen finden die ab 1. Januar 2003 geltenden Bestimmungen des ATSG und jene der entsprechenden Verordnung vom 11. September 2002 (ATSV, SR 830.11) Anwendung.</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(in der von 2004 bis Ende 2007 geltenden Fassung) bzw. Art. 28 Abs. 2 IVG (in der ab 2008 geltenden Fassung)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(in der bis zum 31. Dezember 2007 geltenden Fassung) respektive Art. 29 Abs. 4 IVG (in der ab 2008 geltenden Fassung) werden Renten, die einem Invaliditätsgrad von weniger als 50% entsprechen, jedoch nur an Versicherte ausgerichtet, die ihren Wohnsitz und gewöhnlichen Aufenthalt (Art. 13 ATSG) in der Schweiz haben. Eine Ausnahme von diesem Prinzip gilt ab 1. Juni 2002 für Schweizer Bürgerinnen und Bürger sowie Angehörige von Mitgliedstaaten der Europäischen Union, welche Anspruch auf Viertelsrenten haben, wenn sie in einem Mitgliedstaat der Europäischen Union Wohnsitz haben.</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obliegt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Da sich die Beschwerdeführerin am 13. August 2007 bei der Deutschen Rentenversicherung für Leistungen der Invalidenversicherung angemeldet hat und dieses Datum aufgrund von Art. 86 Abs. 1 der Verordnung EWG Nr. 1408/71 des Rates vom 14. Juni 1971 zur Anwendung der Systeme der sozialen Sicherheit auf Arbeitnehmer und Selbstständige sowie deren Familienangehörige, die innerhalb der Gemeinschaft zu- und abwandern (SR 831.109.268.1) auch für die schweizerische Invalidenversicherung massgebend ist, steht ihr ein allfälliger Rentenanspruch gemäss Art. 48 IVG (in der bis zum 31. Dezember 2007 gültig gewesenen Fassung) frühestens ein Jahr vor der Gesuchstellung, also frühestens ab dem 13. August 2006 zu.</w:t>
      </w:r>
    </w:p>
    <w:p>
      <w:r>
        <w:rPr>
          <w:b/>
        </w:rPr>
        <w:t>E. 5.8</w:t>
      </w:r>
    </w:p>
    <w:p>
      <w:r>
        <w:t>Zusammenfassend ist somit im Folgenden vom Bundesverwaltungsgericht zu prüfen, ob für die Beschwerdeführerin zwischen dem 13. August 2006 (ein Jahr vor Antragstellung) und dem 26. September 2008 (Datum der angefochtenen Verfügung) ein Anspruch auf eine Invalidenrente bestand oder ein solcher in diesem Zeitraum entstanden ist. Die Beschwerdeführerin ist gemäss eigenen Angaben zuletzt im Jahre 1994 einer Erwerbstätigkeit nachgegangen. Unter diesen Umständen ist für den erwähnten Zeitraum allein aufgrund der ärztlichen Angaben zu prüfen, ob die Beschwerdeführerin eine rentenbegründende Invalidität erlitten hat.</w:t>
      </w:r>
    </w:p>
    <w:p>
      <w:r>
        <w:rPr>
          <w:b/>
        </w:rPr>
        <w:t>E. 6.1</w:t>
      </w:r>
    </w:p>
    <w:p>
      <w:r>
        <w:t>Den Akten ist vorliegend zu entnehmen, dass die Beschwerdeführerin im Wesentlichen an einer Myopie an beiden Augen mit Sehstärke 6/9 und 6/12, aber nicht eingeschränktem Visus, einem sog. "tilted disc", Elephantiasis und Obesitas leidet. Dabei handelt es sich um labile pathologische Geschehen, so dass ein allfälliger Rentenanspruch erst nach der gesetzlichen Wartezeit von einem Jahr entstehen kann (Art. 29 Abs. 1 Bst. b in der bis zum 31. Dezember 2007 gültig gewesenen Fassung).</w:t>
      </w:r>
    </w:p>
    <w:p>
      <w:r>
        <w:rPr>
          <w:b/>
        </w:rPr>
        <w:t>E. 6.2</w:t>
      </w:r>
    </w:p>
    <w:p>
      <w:r>
        <w:t>Hinsichtlich des Einflusses der erwähnten Leiden auf die Arbeitsfähigkeit geht die Vorinstanz gestützt auf die medizinischen Akten davon aus, dass diese die Beschwerdeführerin nicht daran hindern würden, zwar nicht vollschichtig, aber immerhin zu 75% eine leichte, dem Gesundheitszustand besser angepasste gewinnbringende Tätigkeit wie z.B. Im Verkauf auf dem Korrespondenzweg, mit Telefon oder Internet, als Kassierin, Registratorin, Empfangsdame u.a. auszuüben. Demgegenüber ist die Beschwerdeführerin der Auffassung, es bestehe bei ihr eine rentenbegründende Invalidität im Wesentlichen wegen ihrer Sehleiden, zumal sie auch die erwähnten leichten Tätigkeiten nicht ausüben könnte, da sie etwa Warenpreise beim Einkaufen kaum lesen könne. Dabei stützt sie sich auf ärztliche Atteste, auf ihr subjektives Empfinden und auf die Beurteilung der deutschen Versicherungsbehörde.</w:t>
      </w:r>
    </w:p>
    <w:p>
      <w:r>
        <w:rPr>
          <w:b/>
        </w:rPr>
        <w:t>E. 6.3</w:t>
      </w:r>
    </w:p>
    <w:p>
      <w:r>
        <w:t>Wenn die Beschwerdeführerin im vorliegenden Fall sich auf die Tatsache abstützt, dass sie eine deutsche Vorruhestandsrente erhält, so ist diese für sich alleine für die schweizerischen Behörden nicht bindend, denn nach ständiger Rechtsprechung präjudiziert die Gewährung von Leistungen durch ein ausländisches Versicherungsorgan die invalidenversicherungsrechtliche Beurteilung nach schweizerischem Recht nicht (Urteil des BVGer C-2538/2007 vom 26. Mai 2009 E. 7.3, Urteil des EVG I 435/02 vom 2. März 2003, ZAK 1989 S. 320 E. 2). Für die schweizerischen Behörden kann auch nicht das subjektive Empfinden der Beschwerdeführerin genügen. Der Richter ist vielmehr auf die ärztlichen Gutachten und Berichte angewiesen.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somit grundsätzlich weder die Herkunft des Beweismittels noch die Bezeichnung der eingereichten oder in Auftrag gegebenen Stellungnahme als Bericht oder als Gutachten. Bei einander widersprechenden medizinischen Berichten darf das Gericht den Prozess nicht erledigen, ohne das gesamte Beweismaterial zu würdigen und die Gründe anzugeben, warum es auf die eine und nicht auf die andere medizinische These abstellt (vgl. dazu Urteil des EVG I 268/2005 E. 1.2 vom 26. Januar 2006, BGE 125 V 352 E. 3a). Die Rechtsprechung erachtet es mit dem Grundsatz der freien Beweiswürdigung als vereinbar, Richtlinien für die Beweiswürdigung in Bezug auf bestimmte Formen medizinischer Berichte und Gutachten aufzustellen (BGE 125 V 352 E. 3b; AHI 2001 S. 114 E. 3b). Berichte der behandelnden Ärzte etwa sind aufgrund deren auftragsrechtlicher Vertrauensstellung zum Patienten mit Vorbehalt zu würdigen (BGE 125 V 353 E. 3b/cc). Dies gilt für den allgemein praktizierenden Hausarzt wie auch den behandelnden Spezialarzt (Urteil des EVG I 655/05 E. 5.4 vom 20. März 2006).</w:t>
      </w:r>
    </w:p>
    <w:p>
      <w:r>
        <w:rPr>
          <w:b/>
        </w:rPr>
        <w:t>E. 6.4</w:t>
      </w:r>
    </w:p>
    <w:p>
      <w:r>
        <w:t>Erforderlich ist im Sozialversicherungsrecht grundsätzlich auch der Beweisgrad der überwiegenden Wahrscheinlichkeit. Dieser Grad übersteigt einerseits die Annahme einer blossen Möglichkeit bzw. einer Hypothese und liegt anderseits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w:t>
      </w:r>
    </w:p>
    <w:p>
      <w:r>
        <w:t>Im vorliegenden Fall liegen ärztliche Berichte vor, welche im Wesentlichen in der Diagnose der bereits genannten Leiden (vgl. E. 6.1) nicht divergieren. Aber auch hinsichtlich des Einflusses dieser Beschwerden auf die Arbeitsfähigkeit der Beschwerdeführerin bestehen zwischen den Beurteilungen des Schweizer Arztes und der ausländischen Augenärzte keine offensichtlichen Differenzen.</w:t>
      </w:r>
    </w:p>
    <w:p>
      <w:r>
        <w:rPr>
          <w:b/>
        </w:rPr>
        <w:t>E. 7.1</w:t>
      </w:r>
    </w:p>
    <w:p>
      <w:r>
        <w:t>Der IV-Stellenarzt, auf dessen Berichte sich die Vorinstanz abstützt, hat sich unmissverständlich und durchwegs, nämlich am 15. Mai 2008 nach Durchsicht der Gesuchsunterlagen (vgl. act. 41 IV), am 19. September 2008 aufgrund des Einspruchs auf den Vorbescheid (vgl. act. 53 IV) und am 3. Februar 2009 nach Eingang eines mit der Beschwerde in Aussicht gestellten ärztlichen Attests (vgl. act. 57 IV) dahingehend geäussert, dass die diagnostizierten Leiden die Beschwerdeführerin nicht daran hindern würden, mit einer Erwerbseinbusse von 25% in einer angepassten Tätigkeit zu arbeiten. Die Augenleiden der Beschwerdeführerin hat er jedenfalls in diesem Umfange berücksichtigt. Was die anderen Leiden (Elephantiasis, Obesitas) anbelangt, so bemerkt der von der Vorinstanz zugezogene Arzt zu Recht, dass sie kaum einen Einfluss auf die Arbeitsfähigkeit in angepassten Tätigkeiten haben können, zumal die Beschwerdeführerin bis 1994 trotz dieser Leiden vollschichtig gearbeitet hatte.</w:t>
      </w:r>
    </w:p>
    <w:p>
      <w:r>
        <w:rPr>
          <w:b/>
        </w:rPr>
        <w:t>E. 7.2</w:t>
      </w:r>
    </w:p>
    <w:p>
      <w:r>
        <w:t>Stellungnahmen zur Arbeitsfähigkeit sind von israelischer Seite hauptsächlich im multidisziplinären medizinischen Gutachten vom 10. Mai 2007 von Dr. med. M._______, Facharzt für innere Medizin und Allergiologie enthalten, in welchem dieser davon ausgeht, dass die Arbeitsfähigkeit wegen der Sehstörungen auf sechs Stunden täglich zu reduzieren sei (act. 37 IV). Dies entspricht praktisch dem Befund des IV-Stellenarztes, der sich auch darauf abstützt, um eine Erwerbseinbusse von 25% anzunehmen. Die Vorinstanz berücksichtigte ebenfalls den Befund von Dr. med. N._______ vom 10. Dezember 2007 (vgl. act. 39 IV), wonach die Beschwerdeführerin beim Gehen, Stehen und Sitzen behindert sei, indem ihr nur leichte und leidensangepasste Tätigkeiten zugemutet werden. In späteren augenärztlichen Berichte aus Israel vom 2. Juli 2008 (vgl. act. 48 und 49 IV) und aus Deutschland von Dr. med. Q.______ vom 23. Oktober 2008 (vgl. act. 3) sind keine Äusserungen zur Arbeitsfähigkeit enthalten. Der IV-Stellenarzt entnahm daraus auch keine neuen Diagnosen.</w:t>
      </w:r>
    </w:p>
    <w:p>
      <w:r>
        <w:rPr>
          <w:b/>
        </w:rPr>
        <w:t>E. 7.3</w:t>
      </w:r>
    </w:p>
    <w:p>
      <w:r>
        <w:t>Im vorliegenden Fall gehen die ärztlichen Beurteilungen über die Arbeitsfähigkeit somit praktisch nicht auseinander. Alles in allem sind die Befunde des ärztlichen IV-Stellendienstes, welche sich auf die Gutachten der ausländischen Ärzte stützt, klar und schlüssig. Für das Bundesverwaltungsgericht gibt es keine ersichtlichen Gründe, entscheidend davon abzuweichen. Mit der Annahme, dass der Beschwerdeführerin die Ausübung einer dem Gesundheitszustand angepassten Tätigkeit wie z.B. im Verkauf, als Kassierin, Archivarin oder als Empfangsdame zu 75% zumutbar ist, aber auch dass eine Arbeitsunfähigkeit von 25% in der zuletzt ausgeübten Tätigkeit als Sekretärin bestehe, wird insbesondere auf die genannten Sehbeschwerden, aber auch auf die übrigen Leiden Rücksicht genommen. Damit wird offensichtlich keine Erwerbsunfähigkeit von 40% oder mehr erreicht.</w:t>
      </w:r>
    </w:p>
    <w:p>
      <w:r>
        <w:rPr>
          <w:b/>
        </w:rPr>
        <w:t>E. 7.4</w:t>
      </w:r>
    </w:p>
    <w:p>
      <w:r>
        <w:t>Im Übrigen besteht selbst dann keine rentenrelevante Gesundheitseinschränkung, wenn man die Beschwerdeführerin als Hausfrau betrachten würde, kann sie doch die meisten Haushaltsarbeiten ohne Einschränkungen selbst erledigen, wie sie selbst angegeben hat (vgl. act. 20 IV). Nur ein kleiner Teil der Haushaltsarbeiten (Einkäufe tätigen, Wäsche flicken, Betreuung von Kindern und Krankenpflege) kann sie zwar erledigen, aber mit Einschränkungen. Damit besteht auch unter diesem Aspekt keine Erwerbsunfähigkeit von 40% oder mehr. Die angefochtene Verfügung hält demnach insgesamt einer richterlichen Prüfung stand, weshalb die Beschwerde abzuweisen ist.</w:t>
      </w:r>
    </w:p>
    <w:p>
      <w:r>
        <w:rPr>
          <w:b/>
        </w:rPr>
        <w:t>E. 8.1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vorliegend mit dem einbezahlten Kostenvorschuss verrechnet.</w:t>
      </w:r>
    </w:p>
    <w:p>
      <w:r>
        <w:rPr>
          <w:b/>
        </w:rPr>
        <w:t>E. 8.2</w:t>
      </w:r>
    </w:p>
    <w:p>
      <w:r>
        <w:t>Entsprechend dem Ausgang des Verfahrens ist der Beschwerdeführerin keine Parteientschädigung zuzusprechen (Art. 64 Abs. 1 VwVG a contrario und Art. 7 Abs. 3 VGKE). Der obsiegenden Vorinstanz steht praxisgemäss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