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C-6613/2010 vom 27. Juni 2011</w:t>
      </w:r>
    </w:p>
    <w:p>
      <w:r>
        <w:t>Bundesverwaltungsgericht, 2011-06-27, FR</w:t>
      </w:r>
    </w:p>
    <w:p>
      <w:r>
        <w:rPr>
          <w:b/>
        </w:rPr>
        <w:t xml:space="preserve">Quelle: </w:t>
      </w:r>
      <w:r>
        <w:t>https://mcp.opencaselaw.ch/entscheid/bvger_C-6613_2010</w:t>
      </w:r>
    </w:p>
    <w:p>
      <w:r>
        <w:t>FR: TAF C-6613/2010 du 27 juin 2011</w:t>
      </w:r>
    </w:p>
    <w:p>
      <w:r>
        <w:t>IT: TAF C-6613/2010 del 27 giugno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Par conséquent, les dispositions de la 5ème révision de la LAI entrées en vigueur le 1er janvier 2008 sont ap­plicables mais il est également fait référence aux dispositions en vigueur antérieures s'agissant du droit à la rente jusqu'au 31 décembre 2007.</w:t>
      </w:r>
    </w:p>
    <w:p>
      <w:r>
        <w:rPr>
          <w:b/>
        </w:rPr>
        <w:t>E. 4</w:t>
      </w:r>
    </w:p>
    <w:p>
      <w:r>
        <w:t>La recourante a présenté sa demande de rente le 18 novembre 2003.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la recourante avait droit à une rente le 18 novembre 2002 ou si le droit à une rente était né entre cette date et le 23 juillet 2010, date de la décision attaquée marquant la limite dans le temps du pouvoir d'examen de l'autorité de recours (ATF 129 V 1 consid. 2.1 et ATF 121 V 362 consid. 1b).</w:t>
      </w:r>
    </w:p>
    <w:p>
      <w:r>
        <w:rPr>
          <w:b/>
        </w:rPr>
        <w:t>E. 5</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d'une année au total et remplit, partant, la condition de la durée minimale de cotisations en vigueur au jour du dépôt de sa demande.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Antérieurement au 1er janvier 2004 l'assuré avait droit à un quart de rente dès une invalidité de 40% au moins, à une demi-rente dès une invalidité de 50% au moins et à une rente entière dès une invalidité de 66.66% au moins.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La recourante a travaillé en dernier lieu à plein temps en Suisse comme aide soignante. Elle n'a ensuite plus exercé d'activité lucrative. Or, la notion d'invalidité, dont il est question à l'art. 8 LPGA et à l'art. 4 LAI, est de nature juridique/économique et non pas médicale (ATF 116 V 246 consid. 1b).</w:t>
      </w:r>
    </w:p>
    <w:p>
      <w:r>
        <w:rPr>
          <w:b/>
        </w:rPr>
        <w:t>E. 7.2</w:t>
      </w:r>
    </w:p>
    <w:p>
      <w:r>
        <w:t>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dite général).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la recourante souffre notamment de douleurs générales somatisées et de troubles psychologiques dont l'intensité est controversée.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10.1</w:t>
      </w:r>
    </w:p>
    <w:p>
      <w:r>
        <w:t>En l'espèce, il appert du rapport médical du Dr H._______ du 20 novembre 2008 du CEMed de Nyon, requis par le Tribunal de céans en complément d'instruction, des plaintes de fatigue de vivre, migraines, tensions musculaires au niveau de la nuque, tendinites à répétition assez diffuses, fourmillements dans les mains, lâchage au niveau des genoux, sécheresse oculaire, parfois troubles auditifs, fréquents oublis, agressivité, rituels de vérification, un trouble de concentration non clairement évoqué, d'importants troubles mnésiques, des épisodes d'anxiété paroxystiques une fois par mois environ, des sentiments de culpabilité et de dévalorisation, des douleurs présentes tous les jours mais non en permanence, l'absence de tissu social, une tentative de suicide en 1992 avec une hospitalisation en milieu psychiatrique, un déplacement avec une certaine lenteur, pas de comportement algique manifeste, une certaine démonstrativité, un discours peu informatif, un status orienté sans trouble de vigilance, un jugement et un raisonnement difficilement évaluables mais perturbés, pas de problème de concentration ni d'attention, des capacités mnésiques difficilement évaluables en raison d'une faible collaboration, pas de ralentissement ni d'accélération psychique, un état tendu, anxieux, pas d'élément psychotique, une personnalité peu structurée, une attitude revendicative. Ces plaintes et constatations ont été confirmées à un degré quelque peu plus élevé onze mois plus tard par le Dr G._______ dans son expertise du 26 février 2010 suite à la consultation de l'intéressée du 28 octobre 2009. Ce médecin nota en effet un retrait psycho-social marqué, releva les plaintes somatiques de sensations nauséeuses, maux de tête, syndrome polyalgique diffus et les plaintes psychologiques d'hyper angoisse, d'idées suicidaires, d'agora- et claustrophobie, de tristesse, de fatigue intense, de difficultés de concentration, de culpabilité, d'image de soi négative, de troubles alimentaires, d'insomnie, de cauchemars, de majoration des éléments de somatisation, des contractions idio-musculaires, un signe de Chvostek, des troubles à expression motrice du registre somatoforme. Le rapport indiqua cependant avec quelques réserves dans la formulation une diminution apparente de la force musculaire des quatre membres associée à une hypoesthésie plurimodale sans topographie anatomique systématisée, des difficultés inexplicables pour s'accroupir et se relever, une exagération de l'amplitude des réflexes ostéo-tendineux.</w:t>
      </w:r>
    </w:p>
    <w:p>
      <w:r>
        <w:rPr>
          <w:b/>
        </w:rPr>
        <w:t>E. 10.2</w:t>
      </w:r>
    </w:p>
    <w:p>
      <w:r>
        <w:t>Le rapport du Dr H._______ retint, avec répercussion sur la capacité de travail, le diagnostic de trouble mixte de la personnalité (F61.0) depuis l'adolescence, l'assurée présentant des traits de personnalité émotionnellement labile de type borderline avec la description d'une forte labilité émotionnelle, des traits de personnalité histrionique, une dépendance affective et une instabilité relationnelle. Le trouble de la personnalité fut retenu comme sévère, durable et sans signe d'amélioration récente, justifiant une incapacité de travail totale comme aide-soignante ou dans toute autre activité de soins en raison du comportement peu adapté de l'assurée. Le rapport retint également, sans incidence sur la capacité de travail, un trouble dépressif récurrent, épisode actuel léger à modéré, avec un syndrome somatique (F33.1) depuis 1983, les diagnostics de dysthymie (F34.1), de trouble panique (F41.0) et de somatisation (F45.0). Le diagnostic de syndrome douloureux somatoforme persistant (F45.4) ne fut pas retenu du fait de douleurs non prééminentes sur les autres symptômes somatiques et que ni un comportement manifestement algique ni un rétrécissement du champ de la pensée sur les douleurs ne furent observés. De son côté le Dr G._______ retint sur le plan psychiatrique le diagnostic de personnalité borderline majorée à l'adolescence et à l'âge adulte et constata une accentuation majeure du syndrome dépressivo-anxieux devenu plus sévère car mélancoliforme avec autodévalorisation, une douleur morale, des idéations morbides et suicidaires avec persistance du syndrome asthéno-anhédono-aprosexique, de l'aboulie, une humeur triste, un isolement et une pathologie névrotique de longue date avec anxiété généralisée, troubles paniques, manifestations phobiques. Le Prof. Chalumeau souligna que les troubles somatoformes n'étaient que l'expression subjective et corporelle de la douleur morale liée au syndrome dépressif particulièrement sévère. Il évoqua l'ensemble de la pathologie: troubles sexuels [aversion: F.52.10], personnalité borderline [F.60.31], troubles dépressifs récurrents [F.33], trouble dépressif majeur [F.32], troubles des habilités motrices [F.82], personnalité histrionique [F.60.4], trouble panique [F.41.0], troubles somatoformes de conversion [F.44], le tout selon les critères du DSM IV. Il appert des diagnostics retenus tant par le Dr H._______ que par le Dr G._______ une unité d'appréciation des atteintes à la santé de l'intéressée quant aux atteintes essentielles sous réserve principalement de l'évocation des idées morbides et suicidaires s'inscrivant dans l'accentuation majeure du syndrome dépressivo-anxieux devenu plus sévère car mélancoliforme selon le Dr G._______. Le Tribunal de céans peut toutefois ne pas retenir d'aggravation de l'état de santé de l'intéressée selon l'avis du Dr I._______ du 18 mai 2010 qui indiqua que le Dr G._______ ne précisait pas les éléments cliniques objectifs permettant de retenir une aggravation de l'état de santé psychique de l'assurée et qu'une analyse circonstanciée de la chronologie de l'évolution de l'incapacité de travail manquait entre 2005 et 2009. Il nota que le diagnostic de trouble somatoforme avait déjà été relevé, pris en compte et n'était pas nouveau. Il indiqua que les autres troubles avaient également été pris en compte par le Dr H._______ et que le Dr G._______ n'avait pas objectivement démontré leur aggravation sur des éléments cliniques objectifs ou de l'anamnèse. Le Dr I._______ conclut à l'inexistence d'une aggravation postérieure à l'examen du CEMed, toutes les douleurs alléguées ayant été prises en compte dans le cadre du diagnostic de somatisation (F45.0). D'une manière générale il appert du rapport du Dr G._______ des plaintes, un énoncé d'images négatives de soi et des idées suicidaires qui dans l'absolu sont des signes manifestes de détérioration d'un état psychologique mais qui en l'espèce doivent être relativisés du fait de signes de démonstrativité et de la forme de l'énoncé des plaintes de l'intéressée auprès du Dr G._______ qui s'apparente plus à une liste des plaintes possibles qu'à l'expression de plaintes ciblées et concrètes associées à des vécus exprimés d'un état ressenti.</w:t>
      </w:r>
    </w:p>
    <w:p>
      <w:r>
        <w:rPr>
          <w:b/>
        </w:rPr>
        <w:t>E. 10.3</w:t>
      </w:r>
    </w:p>
    <w:p>
      <w:r>
        <w:t>Le rapport du Dr H._______ releva qu'il était très difficile d'apprécier la capacité de travail résiduelle de l'intéressée en raison d'une attitude plaintive et d'un discours peu informatif. Il fut cependant relevé une personnalité très fragile, décompensée suite à la perte de certains repères et de diverses procédures judiciaires en cours canalisant l'énergie de l'intéressée par un surinvestissement y relatif. Le Dr H._______ retint néanmoins une capacité nulle comme aide soignante, en raison du comportement peu adéquat de l'assurée, et une capacité de travail de 75% comme ouvrière ou vendeuse, soit 8 heures par jour avec une diminution de rendement de 25%, ainsi qu'une capacité de travail entière dans les activités ménagères. Concernant la capacité de travail dans une activité adaptée, l'expert nota qu'un manque de motivation et des fluctuations de la thymie constituaient les limitations fonctionnelles de l'assurée qui, liées à son trouble de la personnalité, seraient responsables d'un absentéisme prévisible. Il nota la nécessité de mesures d'aides au placement et d'un stage d'observation relevant que ces mesures allaient probablement être vouées à l'échec en raison d'une focalisation sur l'obtention de prestations sous la forme d'une rente. Il indiqua encore que l'effet de mesures thérapeutiques conjointes à une reprise de travail était très incertain vu la sévérité du trouble de la personnalité. Cette appréciation s'écarte radicalement de celles du Dr G._______ qui considère que les atteintes à la santé de l'intéressée la plaçaient dans l'incapacité absolue et définitive d'occuper quelque emploi que ce soit, même à temps partiel. Ces appréciations sont certes divergentes mais ne justifient pas un renvoi du dossier pour nouvelle appréciation de la capacité résiduelle de travail car il appert des constatations du Dr H._______ que les limitations de la capacité de travail ne relèvent pas d'un état invalidant mais plus d'une attitude personnelle négative à toute forme de reprise de travail en raison d'un positionnement vindicatif à l'obtention d'une rente. Le trouble dépressif de l'intéressée est il est vrai sévère et est associé à des douleurs somatoformes, toutefois sur le plan somatique les douleurs n'ont pas de causes objectivables et le trouble psychiatrique bien que sévère et ayant des conséquences certaines dans un cadre relationnel n'est pas démontré comme invalidant pour toute activité notamment de type industriel. Du reste, le Dr G._______ se réfère essentiellement aux plaintes de l'assurée dont les antécédents peuvent difficilement justifier une invalidité d'ordre psychiatrique. La focalisation sur l'obtention d'une rente ayant pour effet de compromettre une réinsertion professionnelle n'est pas constitutive d'une invalidité, elle est constitutive d'une précarité sociale dont répond l'assuré. Il s'ensuit que le Tribunal de céans considère que rien ne s'oppose à ce que l'intéressée soit reconnue à la date de la décision attaquée en mesure d'exercer une activité lucrative notamment dans l'industrie à 100% avec un rendement de 75%. A juste titre l'OAI-VD, respectivement l'OAIE, n'ont pas retenu une activité de vendeuse comme exigible en raison de difficultés dans les relations consécutives à un retrait social. Rappelons que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11.1</w:t>
      </w:r>
    </w:p>
    <w:p>
      <w:r>
        <w:t>Dans son recours l'intéressée a fait valoir que le Dr H._______ ne l'avait examinée que deux fois trente minutes contrairement à un examen psychiatrique usuel de quelque trois heures. Ce grief ne peut être retenu car si les directives en matière d'expertise psychiatrique préconisent effectivement des investigations sur quelque trois heures, cela ne peut se justifier que si l'intéressé s'exprime de façon telle que son propos doive être analysé avec circonspection. Si au contraire l'intéressé n'a pas un discours informatif et que l'expert considère de son appréciation que des investigations plus étendues que celles effectuées n'apporteront pas d'élément déterminant il peut se limiter à un examen plus bref. Ce qui est déterminant n'est pas le temps consacré à l'entretien de l'expertisé mais le caractère complet de l'expertise et les conclusions qui s'en déduisent (arrêt du Tribunal fédéral I 842/05 du 1er juin 2006 consid. 2.2.4 et I 954/05 du 24 mai 2006 consid. 3.2.1).</w:t>
      </w:r>
    </w:p>
    <w:p>
      <w:r>
        <w:rPr>
          <w:b/>
        </w:rPr>
        <w:t>E. 11.2</w:t>
      </w:r>
    </w:p>
    <w:p>
      <w:r>
        <w:t>La recourante relève qu'un examen pluridisciplinaire pourtant réservé par l'arrêt du Tribunal de céans aurait permis d'évaluer à juste titre l'intensité de ses douleurs. Il sied ici de relever que tant le Dr H._______ que le Dr G._______ ont qualifié les douleurs de l'intéressée dans le registre psychologique, un examen pluridisiplinaire ne se justifiait donc pas. Par ailleurs, comme l'a relevé le Dr I._______, les problèmes gastriques de l'intéressée et ses troubles asthmatiques ne sont pas constitutifs d'une invalidité.</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13.1</w:t>
      </w:r>
    </w:p>
    <w:p>
      <w:r>
        <w:t>En l'espèce il y a lieu de procéder à une évaluation de l'invalidité selon la méthode générale par une comparaison de revenus sur la base de l'Enquête suisse sur la structure des salaires 2003 car il doit être admis que c'est à compter de septembre 2002 que l'intéressée a présenté une incapacité de travail déterminante portant l'ouverture du droit à la rente théoriquement en septembre 2003.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13.2</w:t>
      </w:r>
    </w:p>
    <w:p>
      <w:r>
        <w:t>L'OAIE a retenu comme base de comparaison sans invalidité le revenu que l'intéressée aurait pu obtenir en 2003, soit Fr. 57'135.-.</w:t>
      </w:r>
    </w:p>
    <w:p>
      <w:r>
        <w:rPr>
          <w:b/>
        </w:rPr>
        <w:t>E. 13.3</w:t>
      </w:r>
    </w:p>
    <w:p>
      <w:r>
        <w:t>Le salaire après invalidité doit être fixé sur la base des données statistiques résultant de l'Enquête suisse sur les salaires 2002 (table TA1) suivies d'une indexation 2003. En l'occurrence les activités de substitution proposées par le Dr H._______, avec la restriction à juste titre aux activités dans le secteur industriel selon l'OAI-VD, s'inscrivent dans la détermination du revenu médian toutes branches confondues dans le secteur privé de la production pour des activités simples et répétitives (niveau 4) à 100%, soit Fr. 3'824.- pour 40 h./sem. et Fr. 3'957.84 pour 41.4 h./sem. selon le temps de travail usuel de ce secteur, sous déduction de 25% pour tenir compte d'une activité exercée à 75%, soit Fr. 2'968.38.-. En accord avec l'autorité inférieure, un abattement pour raisons personnelles supplémentaires ne se justifie pas compte tenu de l'âge de l'intéressée ou de limitations de travail à des tâches particulièrement légères. La réduction du salaire statistique d'invalide sur la base de la jurisprudence ATF 126 V 75 ne peut être examinée par un tribunal qu'avec une certaine retenue, étant donné que l'administration jouit d'une marge d'appréciation importante en la matière. Indexé 2003 (+ 1.2%), ce montant s'élève à Fr. 3'004.- par mois ou Fr 36'048.- par année. De nombreuses activités d'entre elles peuvent être exercées sans efforts moyennement importants en position debout, assise ou autorisant le changement de position, de sorte que ces activités sont adaptées aux possibilités de la recourante. De plus, la majeure partie de ces postes ne nécessite pas de formation particulière autre qu'une mise au courant initiale.</w:t>
      </w:r>
    </w:p>
    <w:p>
      <w:r>
        <w:rPr>
          <w:b/>
        </w:rPr>
        <w:t>E. 13.4</w:t>
      </w:r>
    </w:p>
    <w:p>
      <w:r>
        <w:t>En comparant le salaire avant invalidité de Fr. 57'135.- avec celui après invalidité de Fr. 36'048.-, on obtient une perte de gain de 36.90% arrondie à 37% ([57'135 - 36'048] : 57'135 x 100). Même indexés valeurs 2010, année de la décision attaquée, les revenus à comparer (Fr. 57'135 : 112.7 [indice salaire 2003] x 123.8 [indice salaire 2010] = Fr. 62'762.31; Fr. 36'048 : 112.8 x 123.7 = Fr. 39'531.36) ne permettent pas d'atteindre un taux d'invalidité égal ou supérieur à 40%. Le taux reste en effet de 37% ([62'762.31 - 39'531.36] : 62'762.31 x 100 = 37.01%). Il appert de ce qui précède que le recours doit être rejeté et la décision attaquée confirmée.</w:t>
      </w:r>
    </w:p>
    <w:p>
      <w:r>
        <w:rPr>
          <w:b/>
        </w:rPr>
        <w:t>E. 14</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15.1</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15.2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