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C-660/2013 vom 21. April 2015</w:t>
      </w:r>
    </w:p>
    <w:p>
      <w:r>
        <w:t>Bundesverwaltungsgericht, 2015-04-21, DE</w:t>
      </w:r>
    </w:p>
    <w:p>
      <w:r>
        <w:rPr>
          <w:b/>
        </w:rPr>
        <w:t xml:space="preserve">Quelle: </w:t>
      </w:r>
      <w:r>
        <w:t>https://mcp.opencaselaw.ch/entscheid/bvger_C-660_2013</w:t>
      </w:r>
    </w:p>
    <w:p>
      <w:r>
        <w:t>FR: TAF C-660/2013 du 21 avril 2015</w:t>
      </w:r>
    </w:p>
    <w:p>
      <w:r>
        <w:t>IT: TAF C-660/2013 del 21 aprile 2015</w:t>
      </w:r>
    </w:p>
    <w:p>
      <w:pPr>
        <w:pStyle w:val="Heading2"/>
      </w:pPr>
      <w:r>
        <w:t>Regeste</w:t>
      </w:r>
    </w:p>
    <w:p>
      <w:r>
        <w:t>Einreiseverbot</w:t>
      </w:r>
    </w:p>
    <w:p>
      <w:pPr>
        <w:pStyle w:val="Heading2"/>
      </w:pPr>
      <w:r>
        <w:t>Erwägungen</w:t>
      </w:r>
    </w:p>
    <w:p>
      <w:r>
        <w:rPr>
          <w:b/>
        </w:rPr>
        <w:t>E. 1.1</w:t>
      </w:r>
    </w:p>
    <w:p>
      <w:r>
        <w:t>Verfügungen des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Erhebung des Rechtsmittels legitimiert (Art. 48 Abs. 1 VwVG). Auf die frist- und formgerecht eingereichte Beschwerde ist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In seiner Rechtsmittelschrift rügt der Beschwerdeführer in formeller Hin­sicht eine Verletzung des Anspruchs auf rechtliches Gehör. Die Vor­instanz habe das Einreiseverbot erlassen, ohne ihm vorgängig über den damals schon im Verfahren um Nichterneuerung der Aufenthaltsbewilligung eingesetzten Rechtsvertreter Gelegenheit zur Stellungnahme einzuräumen.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3.3</w:t>
      </w:r>
    </w:p>
    <w:p>
      <w:r>
        <w:t>Die seitens des Beschwerdeführers erhobene Rüge der Gehörsverletzung ist unbegründet. Wie das Bundesverwaltungsgericht schon in seiner Zwischenverfügung vom 25. Februar 2013 feststellte, hat die im Aufenthaltsbewilligungsverfahren zuständige kantonale Migrationsbehörde den Beschwerdeführer bzw. dessen Rechtsvertreter in einem Schreiben vom 1. Dezember 2011 darauf aufmerksam gemacht, dass (im Nachgang zur beabsichtigten Nichterneuerung der Aufenthaltsbewilligung und Wegweisung aus der Schweiz) auch die Beantragung eines Einreiseverbots erwogen werde (S. 2, achter Absatz). Der Beschwerdeführer bzw. sein Rechtsvertreter reagierte darauf und bat in seiner Stellungnahme vom 13. Januar 2012 (nach Ausführungen zum Antrag auf Erneuerung der Aufenthaltsbewilligung) ausdrücklich darum, auf ein Einreiseverbot zu verzichten (S. 3, zweiter Absatz). Nach ständiger Rechtsprechung des Bundesverwaltungsgerichts setzt die Gewährung des rechtlichen Gehörs nicht voraus, dass die verfügende Behörde selbst (also hier das SEM) tätig wird; der Vorgang kann rechtswirksam delegiert werden. Was die im gleichen Zusammenhang gerügte Begründungsdichte der angefochtenen Verfügung betrifft, so fiel zwar die Begründung in Bezug auf die vorzunehmende Interessenabwägung knapp aus. Immerhin lassen aber die anschliessenden Schriftenwechsel im Beschwerdeverfahren genügend erkennen, wie die Vorinstanz die persönlichen Interessen des Beschwerdeführers daran, keinen besonderen Einreiserestriktionen unterworfen zu werden, gewichtet hat. Insgesamt war es dem Beschwerdeführer denn auch möglich, sachgerecht und vollständig gegen die vorinstanzliche Verfügung zu argumentieren.</w:t>
      </w:r>
    </w:p>
    <w:p>
      <w:r>
        <w:rPr>
          <w:b/>
        </w:rPr>
        <w:t>E. 4.1</w:t>
      </w:r>
    </w:p>
    <w:p>
      <w:r>
        <w:t>Das SEM kann ein Einreiseverbot gegen ausländische Personen verfügen, die gegen die öffentliche Sicherheit und Ordnung in der Schweiz oder im Ausland verstossen haben oder diese gefährden (Art. 67 Abs. 2 Bst. a AuG). Des Weiteren kann es gegen solche Personen ein Einreiseverbot verhängen, wenn sie Sozialhilfekosten verursacht haben (Art. 67 Abs. 2 Bst. b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unlängst entschieden, dass Einreiseverbote, die auf der Grundlage von Art. 67 Abs. 1 oder 2 AuG ergehen, stets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5.1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5.2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w:t>
      </w:r>
    </w:p>
    <w:p>
      <w:r>
        <w:t>Dass das von der Vorinstanz ursprünglich verhängte, unbefristete Einreiseverbot sich nicht mit dem Bundesrecht vereinbaren lässt, wurde bereits angedeutet. Gemäss dem zitierten Grundsatzurteil des Bundesverwaltungsgerichts BVGE 2014/20 ist jedes Einreiseverbot, das sich auf Art. 67 Abs. 1 und 2 AuG stützt - und damit auch die angefochtene Fernhaltemassnahme - zwingend zu befristen. Ihre im Rahmen des Beschwerdeverfahrens wiedererwägungsweise auf acht Jahre befristete Fernhaltemassnahme begründet die Vorinstanz mit einer vom Beschwerdeführer ausgehenden schwerwiegenden Gefahr für die öffentliche Sicherheit und Ordnung im Sinne von Art. 67 Abs. 3 zweiter Satz AuG. Demzufolge sieht sie sich an die grundsätzliche Begrenzung eines Einreiseverbots auf fünf Jahre Dauer, wie sie von Art. 67 Abs. 3 erster Satz AuG vorgesehen wird, nicht gebunden. Ob diese Beurteilung vor Art. 67 Abs. 3 AuG standhält, ist nachfolgend zu prüfen.</w:t>
      </w:r>
    </w:p>
    <w:p>
      <w:r>
        <w:rPr>
          <w:b/>
        </w:rPr>
        <w:t>E. 6.1</w:t>
      </w:r>
    </w:p>
    <w:p>
      <w:r>
        <w:t>Der Beschwerdeführer wurde am 19. August 2011 wegen mehrfacher schwerer Widerhandlung gegen das BetmG zu einer teilbedingten Freiheitsstrafe von drei Jahren verurteilt. Das Kriminalgericht sah als erwiesen an, dass er im Zeitraum von Ende Oktober 2008 bis zu seiner Verhaftung Anfang Februar 2010 eine Menge von 800 Gramm Kokain kaufte, im gleichen Zeitraum 544 Gramm Kokain verkaufte und dass er am 1. Februar 2010 Anstalten traf zum Kauf von weiteren gut 200 Gramm Kokain (Urteil des Kriminalgerichts vom 19. August 2011 E. 1.3, 2.2 und 3.2.3, Seiten 13/37, 15/37 und 20/37). Aufgrund der Drogenmenge und des dem Beschwerdeführer attestierten Vorsatzes bejahte das Gericht einen mengenmässig qualifizierten Fall (vgl. aArt. 19 Ziff. 2 Bst. a BetmG in der bis zum 30. Juni 2011 geltenden Fassung [AS 1975 1220]). Der Beschwerdeführer nahm demnach in Kauf, dass er mit seinem Verhalten die Gesundheit vieler Menschen in Gefahr bringen konnte. Im Zusammenhang mit den Tat- und Täterkomponenten erwog das Kriminalgericht, dass das Verschulden des Beschwerdeführers insgesamt als schwer zu qualifizieren sei. Er habe über einen Zeitraum von etwas über einem Jahr hinweg eine beträchtliche Menge Kokain gekauft und verkauft bzw. Anstalten zum Erwerb von Kokain getroffen. Der Beschwerdeführer habe hierbei in allen drei vorgenannten Tatkomplexen die Qualifikation eines schweren Falles erfüllt. Negativ in Gewicht falle sodann, dass der - selber nicht süchtige - Beschwerdeführer aus rein finanziellen Beweggründen und überaus professionell agiert habe. Hinsichtlich seiner Stellung sei er als Drogenhändler im mittleren hierarchischen Bereich anzusiedeln. Das Verhalten des Beschwerdeführers im Strafverfahren sei durch fehlendes Schuldeingeständnis und verweigerte Kooperation gekennzeichnet gewesen (E. 1.4, Seite 27/37).</w:t>
      </w:r>
    </w:p>
    <w:p>
      <w:r>
        <w:rPr>
          <w:b/>
        </w:rPr>
        <w:t>E. 6.2</w:t>
      </w:r>
    </w:p>
    <w:p>
      <w:r>
        <w:t>Es bedarf keiner näheren Begründung, dass das Verhalten des Beschwerdeführers als Verstoss gegen die öffentliche Sicherheit und Ordnung im Sinne von Art. 67 Abs. 2 Bst. a erster Halbsatz AuG zu werten ist. Es kann auch nicht in Abrede gestellt werden, dass von ihm zum Zeitpunkt seiner Festnahme im Februar 2010 nicht nur eine Gefahr für die öffentliche Sicherheit und Ordnung im Sinne von Art. 67 Abs. 2 Bst. a zweiter Halbsatz AuG ausging, sondern dass diese Gefahr nach Art. 67 Abs. 3 AuG schwerwiegend war. Denn der Beschwerdeführer wurde aus reiner Profitgier während einer mehr als ein Jahr dauernden Periode, die erst mit seiner Verhaftung endete, erheblich straffällig. Seine Delinquenz betraf zudem einen Bereich, der wegen der Hochwertigkeit der betroffenen Rechtsgüter besonders sensibel ist und in dem daher selbst ein geringes Restrisiko weiterer Störungen nicht in Kauf genommen werden kann. Drogenhandel gehört denn auch zu denjenigen Anlasstaten, die gemäss Art. 121 BV zum Verlust des Aufenthaltsrechts und der Verhängung eines langjährigen Einreiseverbots führen sollen (vgl. etwa BGE 139 I 145 E. 2.5, 31 E. 2.3, 16 E. 2.2 je m.H.). Offensichtlich musste der Beschwerdeführer keine hohe Hemmschwelle überwinden, um seine egoistischen Interessen auf Kosten hochwertiger Rechtsgüter Dritter durchzusetzen.</w:t>
      </w:r>
    </w:p>
    <w:p>
      <w:r>
        <w:rPr>
          <w:b/>
        </w:rPr>
        <w:t>E. 6.3</w:t>
      </w:r>
    </w:p>
    <w:p>
      <w:r>
        <w:t>Zu prüfen ist, ob auch heute noch von einer im Sinne von Art. 67 Abs. 3 AuG schwerwiegenden Gefahr für die öffentliche Sicherheit und Ordnung ausgegangen werden muss. Der Beschwerdeführer behauptet, seit seiner Entlassung aus dem Strafvollzug im Nachgang zum Urteil vom 19. August 2011 nicht mehr straffällig geworden zu sein und noch vor seiner erzwungenen Ausreise aus der Schweiz im Januar 2013 die wirtschaftliche Integration geschafft zu haben. Letzteres belegt er mit Lohnabrechnungen der Caritas und einer Firma für Arbeitsvermittlung aus dem Zeitraum Juli bis Dezember 2012. Der Strafbefehl der Staatsanwaltschaft Luzern vom 15. Februar 2012, mit dem der Beschwerdeführer des mehrfachen Erwerbs, Besitzes und Konsums von Kokain und Marihuana sowie des mehrfachen Verkaufs von Kokain im Januar und Februar 2012 schuldig gesprochen worden war, wurde auf Einsprache des Betroffenen hin vom Bezirksgericht Luzern in einem Beschluss vom 27. März 2013 zwar aufgehoben und zur Durchführung eines neuen Vorverfahrens an die Urheberin zurückgewiesen. Andererseits hat der Beschwerdeführer auch so unbestreitbar über eine lange Zeit hinweg Kontakte zum Drogenmilieu unterhalten. So musste er - wie erwähnt - im März 2007 und damit nur kurze Zeit nach seiner Einreise in die Schweiz mit einer Eingrenzungsverfügung belegt werden. Tritt hinzu, dass er seine Straftaten konsequent leugnete und so auch jede Einsicht in die Problematik seines Fehlverhaltens vermissen liess. Was die wirtschaftliche Integration betrifft, so stellte die Migrationsbehörde des Kantons Luzern noch in ihrer Verfügung vom 25. Januar 2012 betr. Nichterneuerung der Aufenthaltsbewilligung und Wegweisung aus der Schweiz fest, dass sich der Beschwerdeführer bis dahin nicht nachweislich darum bemüht habe, einen Weg ins Erwerbsleben zu finden und er seit seiner Entlassung aus dem Strafvollzug mit wirtschaftlicher Sozialhilfe unterstützt werden müsse. Dass der Beschwerdeführer dann offenbar in der zweiten Hälfte des Jahres 2012 mit Unterstützung der Caritas und über eine Firma für Arbeitsvermittlung regelmässigen Arbeitseinsätzen nachgehen konnte, kann nicht schon zu einer wesentlich anderen Beurteilung in Bezug auf die berufliche und soziale Integration und damit der Gefährdungslage führen. Seine späten Bemühungen um Integration in den Arbeitsmarkt - wie auch die von ihm behauptete Straflosigkeit - kamen vor dem Hintergrund eines hängigen Bewilligungsverfahrens und einer laufenden strafrechtlichen Probezeit zustande (vgl. dazu etwa Urteile des Bundesgerichts 2C_530/2014 vom 22. Januar 2015 E. 4.2 und 2C_953/2014 vom 16. September 2014 E. 3.2.1).</w:t>
      </w:r>
    </w:p>
    <w:p>
      <w:r>
        <w:rPr>
          <w:b/>
        </w:rPr>
        <w:t>E. 6.4</w:t>
      </w:r>
    </w:p>
    <w:p>
      <w:r>
        <w:t>Als Zwischenergebnis ist somit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7</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7.1</w:t>
      </w:r>
    </w:p>
    <w:p>
      <w:r>
        <w:t>Vom Beschwerdeführer geht, wie weiter oben ausgeführt wurde, nach wie vor eine schwerwiegende Gefahr für die öffentliche Sicherheit und Ordnung in einem besonders sensitiven Bereich aus. Dementsprechend erheblich ist das öffentliche Interesse an seiner längerfristigen Fernhaltung (vgl. BGE 131 II 352 E. 4.3.1 S. 359 f. mit Hinweis; Urteil des Bundesverwaltungs­gerichts C-2681/2010 vom 6. Mai 2011 E. 5.4 mit Hinweis).</w:t>
      </w:r>
    </w:p>
    <w:p>
      <w:r>
        <w:rPr>
          <w:b/>
        </w:rPr>
        <w:t>E. 7.2</w:t>
      </w:r>
    </w:p>
    <w:p>
      <w:r>
        <w:t>Das öffentliche Interesse an einer Fernhaltung des Beschwerdefüh­rers ist aber auch in subjektiver Hinsicht hoch zu gewichten. Der Be­schwerdeführer hat nach dem bereits Gesagten in erheblicher Weise im Bereich des Drogenhandels delinquiert und konnte da­rin nur durch seine Festnahme gestoppt werden. Er befand sich dabei nicht in einer Notlage und war auch nicht selbst drogenabhängig, sondern handelte aus reiner Gewinnsucht und damit aus egoistischen Motiven.</w:t>
      </w:r>
    </w:p>
    <w:p>
      <w:r>
        <w:rPr>
          <w:b/>
        </w:rPr>
        <w:t>E. 7.3</w:t>
      </w:r>
    </w:p>
    <w:p>
      <w:r>
        <w:t>Den öffentlichen Interessen an seiner Fernhaltung stellt der Beschwerdeführer sein privates Interesse an möglichst ungehinderten persönlichen Kontakten zu seinem in der Schweiz lebenden Sohn entgegen.</w:t>
      </w:r>
    </w:p>
    <w:p>
      <w:r>
        <w:rPr>
          <w:b/>
        </w:rPr>
        <w:t>E. 7.3.1</w:t>
      </w:r>
    </w:p>
    <w:p>
      <w:r>
        <w:t>In der vorliegenden Streitsache geht es nicht um ein Aufenthaltsrecht (darüber wurde bereits rechtskräftig befunden), sondern einzig und allein um eine Fernhaltemassnahme. Die Frage lautet, ob die durch die Fernhaltemassnahme zusätzlich bewirkte Erschwernis des Privat- und Familienlebens vor Art. 8 Ziff. 1 EMRK und Art. 13 Abs. 1 BV standhält. Zu Recht erkennt der Beschwerdeführer, dass mit dem Einreiseverbot Einreisen in die Schweiz nicht von vornherein und absolut verunmöglicht werden. Vielmehr besteht die Möglichkeit, aus wichtigen Gründen die zeitweilige Suspension der angeordneten Fernhaltemassnahme zu beantragen (Art. 67 Abs. 5 AuG). Wenn auch solche Bewilligungen aus naheliegenden Gründen nur einzelfallweise für kurze und klar begrenzte Zeit erteilt werden, so kann den Interessen des Beschwerdeführers damit doch in genügender Weise Rechnung getragen werden. Dessen gegenteilige Behauptung wird in keiner Weise begründet. Soweit im Einreiseverbot überhaupt ein relevanter Eingriff in das Familien- und Privatleben erblickt werden kann, ist er durch das öffentliche Fernhalteinteresse gedeckt.</w:t>
      </w:r>
    </w:p>
    <w:p>
      <w:r>
        <w:rPr>
          <w:b/>
        </w:rPr>
        <w:t>E. 7.3.2</w:t>
      </w:r>
    </w:p>
    <w:p>
      <w:r>
        <w:t>Eine wertende Gewichtung der sich entgegenstehenden Interessen führt das Bundesverwaltungsgericht zum Ergebnis, dass das auf acht Jahre bemessene Einreiseverbot eine verhältnismässige Massnahme zum Schutz der öffentlichen Sicherheit und Ordnung darstellt und daher nicht zu beanstanden ist.</w:t>
      </w:r>
    </w:p>
    <w:p>
      <w:r>
        <w:rPr>
          <w:b/>
        </w:rPr>
        <w:t>E. 8</w:t>
      </w:r>
    </w:p>
    <w:p>
      <w:r>
        <w:t>Zu prüfen bleibt die Rechtmässigkeit der von der Vorinstanz angeord­neten Ausschreibung des Einreiseverbots im Schengener Informationssystem SIS.</w:t>
      </w:r>
    </w:p>
    <w:p>
      <w:r>
        <w:rPr>
          <w:b/>
        </w:rPr>
        <w:t>E. 8.1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SGK).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Visakodex).</w:t>
      </w:r>
    </w:p>
    <w:p>
      <w:r>
        <w:rPr>
          <w:b/>
        </w:rPr>
        <w:t>E. 8.2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SIS-II-Verordnung).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8.3</w:t>
      </w:r>
    </w:p>
    <w:p>
      <w:r>
        <w:t>Der Beschwerdeführer kann als Drittstaatsangehöriger grundsätzlich zur Einreise- bzw. Aufenthaltsverweigerung im SIS ausgeschrieben wer­den. Die von ihm begangenen Drogendelikte erfüllen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9</w:t>
      </w:r>
    </w:p>
    <w:p>
      <w:r>
        <w:t>Das von der Vorinstanz wiedererwägungsweise auf acht Jahre befristete Einreiseverbot ist - im Lichte von Art. 49 VwVG - nicht zu beanstanden. Die Beschwerde ist demzufolge abzuweisen, soweit sie nicht durch die wiedererwägungsweise erlassene Verfügung vom 12. November 2014 gegenstandslos geworden ist.</w:t>
      </w:r>
    </w:p>
    <w:p>
      <w:r>
        <w:rPr>
          <w:b/>
        </w:rPr>
        <w:t>E. 10</w:t>
      </w:r>
    </w:p>
    <w:p>
      <w:r>
        <w:t>Gemäss Art. 63 Abs. 1 VwVG sind die Verfahrenskosten der unterliegenden Partei aufzuerlegen. Bei teilweisem Unterliegen werden die Kosten ermässigt. Insoweit die Vorinstanz auf ihre Verfügung vom 22. Januar 2013 zurückgekommen ist und die Fernhaltemassnahme befristet hat, ist der Beschwerdeführer als obsiegende Partei anzusehen und sind die Verfahrenskosten entsprechend zu ermässigen. Aus dem gleichen Grund ist dem Beschwerdeführer zulasten der Vorinstanz eine ebenfalls ermässigte Entschädigung für die ihm entstandenen notwendigen und verhältnismässig hohen Kosten zuzusprechen (vgl. Art. 64 Abs. 1 und Abs. 2 VwVG;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