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C-6605/2018 vom 4. November 2021</w:t>
      </w:r>
    </w:p>
    <w:p>
      <w:r>
        <w:t>Bundesverwaltungsgericht, 2021-11-04, DE</w:t>
      </w:r>
    </w:p>
    <w:p>
      <w:r>
        <w:rPr>
          <w:b/>
        </w:rPr>
        <w:t xml:space="preserve">Quelle: </w:t>
      </w:r>
      <w:r>
        <w:t>https://mcp.opencaselaw.ch/entscheid/bvger_C-6605_2018</w:t>
      </w:r>
    </w:p>
    <w:p>
      <w:r>
        <w:t>FR: TAF C-6605/2018 du 4 novembre 2021</w:t>
      </w:r>
    </w:p>
    <w:p>
      <w:r>
        <w:t>IT: TAF C-6605/2018 del 4 novembre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 Feststellung der Nichtigkeit der Verfügung beziehungsweise an deren Aufhebung beziehungsweise Abänderung grundsätzlich ein schutzwürdiges Interesse, weshalb sie im Sinne von Art. 48 Abs. 1 VwVG beschwerdelegitimiert ist. Da die Beschwerde im Übrigen frist- und formgerecht (Art. 50 Abs. 1 und Art. 52 Abs. 1 VwVG) eingereicht und der Kostenvorschuss rechtzeitig geleistet wurde (Art. 63 Abs. 4 VwVG), ist auf die Beschwerde - mit Ausnahme des in Erwägung 4.2 Gesagten - einzutreten.</w:t>
      </w:r>
    </w:p>
    <w:p>
      <w:r>
        <w:rPr>
          <w:b/>
        </w:rPr>
        <w:t>E. 2</w:t>
      </w:r>
    </w:p>
    <w:p>
      <w:r>
        <w:t>Anfechtungsobjekt und damit Begrenzung des vorliegenden Beschwerdeverfahrens (vgl. BGE 131 V 164 E. 2.1) bildet die Verfügung des BAG vom 19. Oktober 2018, mit welcher die Publikumspreise von B._______ Topisch gesenkt und B.b.a._______ und B.b.b._______ (ebenfalls) in die IT-Gruppe 10.10 umgeteilt sowie eine Punktelimitierung vorgenommen wurden. Nicht Gegenstand des vorliegenden Verfahrens ist die mit Verfügung vom 8. Januar 2020 bzw. Widerrufsverfügung vom 28. Januar 2020 angeordnete Aufnahme der neuen (bisher nicht auf der SL geführten) Packungsgrösse von B.b.a._______ und B.b.b._______ (B-act. 20 Beilagen 1-4).</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3.4</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193 E. 2; 122 V 157 E. 1a, je m.w.H; 146 V 240 E. 3.8.2; 138 V 86 E. 5.2.3) und der Rügemaxime, wonach der angefochtene Akt nicht auf sämtliche denkbaren Mängel hin zu untersuchen ist, sondern das Gericht sich nur mit jenen Einwänden auseinandersetzen muss, die in der Beschwerde thematisiert wurden (vgl. Urteile des BVGer C-4633/2016 vom 29. Mai 2019 E. 4.1 und C-5196/2013 vom 5. Januar 2016 E. 6.2 m.w.H.). Zu den Mitwirkungspflichten der Parteien gehört namentlich die Substantiierungspflicht, welche beinhaltet, dass die wesentlichen Tatsachenbehauptungen und -bestreitungen in den Rechtsschriften enthalten sein müssen. Dabei sind an den Untersuchungsgrundsatz geringere Anforderungen zu stellen, wenn die Parteien, wie hier, durch Anwälte respektive ihren Rechtsdienst vertreten sind (vgl. BGE 146 V 240 E. 8.3.2; 138 V 86 E. 5.2.3). Bei fehlender Substantiierung wird nicht materiell entschieden, sondern auf die Beschwerde (im entsprechenden Umfang) nicht eingetreten (vgl. analog Urteil des Bundesgerichts 2C_616/2008 vom 16. Juni 2009 E. 1.3, 5; BGE 134 II 244 E. 2.1; BGE 133 II 249 E. 1.4; Urteil des BVGer C-1216/2010 vom 15. Januar 2013 E. 4.3).</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demnach die spätestens beim Erlass der Verfügung vom 19. Oktober 2018 geltenden materiellen Bestimmungen und Verwaltungsverordnungen. Dazu gehören namentlich das Bundesgesetz über die Krankenversicherung vom 18. März 1994 (KVG, SR 832.10) in der vom 1. Januar 2018 bis 31. Dezember 2018 geltenden Fassung, die Verordnung über die Krankenversicherung vom 27. Juni 1995 (KVV, SR 832.102) in der vom 1. Januar 2018 bis 31. Dezember 2018 geltenden Fassung und die Verordnung des EDI über Leistungen in der obligatorischen Krankenpflegeversicherung vom 29. September 1995 (Krankenpflege-Leistungsverordnung, KLV, SR 832.112.31) in der vom 1. Oktober 2018 bis 31. Dezember 2018 geltenden Fassung und das SL-Handbuch 2017 (gültig seit 1. Mai 2017).</w:t>
      </w:r>
    </w:p>
    <w:p>
      <w:r>
        <w:rPr>
          <w:b/>
        </w:rPr>
        <w:t>E. 4.1</w:t>
      </w:r>
    </w:p>
    <w:p>
      <w:r>
        <w:t>In ihrem Rechtsbegehren Nr. 1 beantragt die Beschwerdeführerin die Aufhebung der gesamten Verfügung des BAG vom 19. Oktober 2018. Dabei macht sie zunächst geltend, dass die angefochtene Verfügung nichtig sei, da sie an die falsche Zulassungsinhaberin eröffnet worden sei.</w:t>
      </w:r>
    </w:p>
    <w:p>
      <w:r>
        <w:rPr>
          <w:b/>
        </w:rPr>
        <w:t>E. 4.1.1</w:t>
      </w:r>
    </w:p>
    <w:p>
      <w:r>
        <w:t>Aus mangelhafter Eröffnung einer Verfügung darf den Parteien kein Nachteil erwachsen (vgl. Art. 38 VwVG und Art. 49 Abs. 3 letzter Satz ATSG). Schwerwiegende Form- und Eröffnungsfehler können unter Umständen zur Nichtigkeit führen. Jedoch führt die unrichtige oder unvollständige Bezeichnung des Verfügungsadressaten nicht zur Nichtigkeit einer Verfügung, solange sich der ins Recht gefasste Adressat aus dem Sachzusammenhang eindeutig ergibt (vgl. Häfelin/Müller/Uhlmann, Allgemeines Verwaltungsrecht, 8. Aufl. 2020, Rz. 1096 ff., 1127 mit Verweis auf Urteil des BVGer A-2434/2013 vom 9. Dezember 2013 E. 1.2.2 und VPB 67 [2003] Nr. 94; Uhlmann/Schilling-Schwank, in: Waldmann/Weissenberger [Hrsg.], Praxiskommentar VwVG, 2. Aufl. 2016, Rz. 13 zu Art. 38; vgl. auch 102 III 63 (E. 2 f.). Für die Rechtsgebiete des Schuldbetreibungs- und Konkursrechts sowie des Bundesverwaltungsrechts ist anerkannt, dass fehlerhafte Zustellungen ihre Wirkung entfalten, wenn sie trotz Formmangels ihr Ziel erreichen (BGE 132 I 249 E. 6 mit Hinweisen). Dem beabsichtigten Rechtsschutz wird Genüge getan,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(vgl. Urteil des BGer 4A_367/2007 vom 30. November 2007 E. 3.2; BGE 132 I 249; 122 V 189 E. 2; 122 I 97 E. 3a/aa; 114 Ib 112 E. 2a; 111 V 149 E. 4c mit Hinweisen; 98 V 278 E. 1 mit Hinweisen; ZAK 1989 S. 176 E. 2a; Urteil des BVGer A-6610/2009 vom 21. April 2010 E. 2.3; Uhlmann/Schilling-Schwank, a.a.O., Rz. 7 zu Art. 38).</w:t>
      </w:r>
    </w:p>
    <w:p>
      <w:r>
        <w:rPr>
          <w:b/>
        </w:rPr>
        <w:t>E. 4.1.2</w:t>
      </w:r>
    </w:p>
    <w:p>
      <w:r>
        <w:t>Im Zeitpunkt der Eröffnung des Verwaltungsverfahrens zur dreijährlichen Überprüfung der SL-Aufnahmebedingungen 2018 mittels BAG-Rundschreiben vom 13. Dezember 2017 war die A.b._______ Zulassungsinhaberin der B._______-Präparate. Auch im Verlauf des Verwaltungsverfahrens nahm zunächst die A.b._______ als Zulassungsinhaberin daran teil (vgl. namentlich Beschwerdebeilagen 4-6, 11, 13). In der Folge kommunizierten das BAG und die Zulassungsinhaberin bis zum 27. September 2018 mehrfach betreffend die B._______-Präparate (s. oben Sachverhalt Bst. D). Während des laufenden Verwaltungsverfahrens hat die Beschwerdeführerin gemäss Fusionsvertrag vom (...) am (...) sämtliche Aktiven und Passiven von der A.b._______ übernommen. Die A.b._______ wurde per (...) im Handelsregister gelöscht. Im Zeitpunkt der Übernahme hielt die A.a._______ alle Aktien der A.b._______ (vgl. betreffend die A.b._______: Handelsregister des Kantons H._______, abgerufen am 20.10.2020; betreffend A.a._______: Handelsregister des Kantons I._______, abgerufen am 20.10.2020]). Am 19. Oktober 2018 erliess das BAG die angefochtene Verfügung und adressierte sie an die A.b._______ in (...), obwohl diese zu diesem Zeitpunkt nicht mehr existierte und die vorliegend Beschwerde führende A.a._______ in (...) inzwischen Zulassungsinhaberin der B._______-Präparate geworden ist. Insofern wurde die angefochtene Verfügung zweifellos fehlerhaft eröffnet.</w:t>
      </w:r>
    </w:p>
    <w:p>
      <w:r>
        <w:rPr>
          <w:b/>
        </w:rPr>
        <w:t>E. 4.1.3</w:t>
      </w:r>
    </w:p>
    <w:p>
      <w:r>
        <w:t>Vorliegend war sowohl für die Beschwerdeführerin (A.a._______) als auch für das BAG klar, dass nicht die nicht mehr existierende A.b._______, sondern die Beschwerdeführerin als neue, damals aktuelle Zulassungsinhaberin der streitbetroffenen Arzneimittel die ins Recht gefasste Adressatin der angefochtenen Verfügung war. Inhaltlich und materiell richtete sich die Verfügung an die aktuelle "Zulassungsinhaberin" der streitbetroffenen Arzneimittel. An einer Stelle in der Verfügung nahm das BAG denn auch auf die "damalige Zulassungsinhaberin A.b._______ (mittlerweile A.a._______)" explizit Bezug (vgl. Zweckmässigkeitsbeilage S. 3 "2. Rückmeldung des BAG zur Eingabe vom 12.07.2018").</w:t>
      </w:r>
    </w:p>
    <w:p>
      <w:r>
        <w:rPr>
          <w:b/>
        </w:rPr>
        <w:t>E. 4.1.4</w:t>
      </w:r>
    </w:p>
    <w:p>
      <w:r>
        <w:t>Zudem ging die angefochtene, eingeschrieben an die A.b._______ gesandte Verfügung vom 19. Oktober 2018 (Freitag) bereits am nächsten Werktag (Montag 22. Oktober 2018) der Beschwerdeführerin zu (vgl. Beschwerde Rz. 11). Ihr stand somit die ordentliche Beschwerdefrist von 30 Tagen zur Verfügung (vgl. Art. 50 Abs. 1 VwVG). Bereits mit E-Mail vom 24. Oktober 2018 kündigte sie dem BAG gegenüber an [vgl. BAG-act. 2]), sich mit der angefochtenen Verfügung fundiert auseinanderzusetzen und eine ausreichend begründete Beschwerde einzureichen. Dies hat sie innerhalb der Beschwerdefrist auch getan. Unter diesen Umständen ist nicht ersichtlich, dass der Beschwerdeführerin durch die mangelhafte Eröffnung ein Nachteil erwachsen ist. Die Beschwerdeführerin macht auch keinen solchen Nachteil geltend.</w:t>
      </w:r>
    </w:p>
    <w:p>
      <w:r>
        <w:rPr>
          <w:b/>
        </w:rPr>
        <w:t>E. 4.1.5</w:t>
      </w:r>
    </w:p>
    <w:p>
      <w:r>
        <w:t>Nichtigkeitsgründe im Sinne der Rechtsprechung (vgl. E. 4.1.1) sind somit nicht zu erkennen: Trotz Formmangels (falsche Adressierung) erreichte die angefochtene Verfügung ihr Ziel, aus dem Sachzusammenhang ergibt sich der ins Recht gefasste Adressat eindeutig, und die A.a._______ hat rechtzeitig und ohne ersichtliche und geltend gemachte Nachteile Beschwerde gegen die Verfügung vom 19. Oktober 2018 erhoben. Damit bleibt ohne Rechtsfolgen für das vorliegende Verfahren, dass die Beschwerdeführerin replikweise geltend macht, es handle sich bei ihr aus rechtlicher Sicht um eine andere juristische Person. Eine Nichtigkeit der angefochtenen Verfügung kann die Beschwerdeführerin auch aus dem von ihr angerufenen Urteil des Bundesverwaltungsgerichts A-5410/2012 vom 28. Mai 2013 (auszugweise publiziert als BVGE 2013/38) nicht herleiten. Denn der dortige Sachverhalt ist mit dem vorliegenden nicht vergleichbar, zumal die dort betroffene Verfügung nicht nur in formeller, sondern auch in materieller Hinsicht an die im Handelsregister gelöschte Aktiengesellschaft adressiert war.</w:t>
      </w:r>
    </w:p>
    <w:p>
      <w:r>
        <w:rPr>
          <w:b/>
        </w:rPr>
        <w:t>E. 4.2.1</w:t>
      </w:r>
    </w:p>
    <w:p>
      <w:r>
        <w:t>Mit ihrem Rechtsbegehren Nr. 1 beantragt die Beschwerdeführerin die materielle Aufhebung der gesamten Verfügung des BAG vom 19. Oktober 2018. Der Antrag betrifft damit nicht nur die Preissenkung für die B.b._______-Präparate, sondern für alle B._______-Präparate (s. oben Sachverhalt Bst. A). Allerdings substantiiert die Beschwerdeführerin diesen umfassenden Aufhebungsantrag in Bezug auf die verfügten Preissenkungen nicht. Insbesondere begründet sie nicht, weshalb die zehn Preise falsch berechnet worden und so nicht festzusetzen seien. Vielmehr akzeptiert die Beschwerdeführerin explizit die Wirtschaftlichkeitsprüfung (basierend auf einem TQV, ohne APV), auf welcher diese Preise beruhen.</w:t>
      </w:r>
    </w:p>
    <w:p>
      <w:r>
        <w:rPr>
          <w:b/>
        </w:rPr>
        <w:t>E. 4.2.2</w:t>
      </w:r>
    </w:p>
    <w:p>
      <w:r>
        <w:t>Das Bundesverwaltungsgericht hat mit Urteil C-6046/2014 vom 13. Dezember 2016 unter Bezugnahme auf weitere Urteile festgehalten, dass, komme eine beschwerdeführende Partei ihrer Substantiierungspflicht (vgl. Art. 49 VwVG i.V.m. Art. 52 Abs. 1 VwVG) in Bezug auf einen einzelnen Antrag nicht nach, darüber nicht materiell entschieden, sondern auf die Beschwerde (im entsprechenden Umfang) nicht eingetreten werde (E. 1.3).</w:t>
      </w:r>
    </w:p>
    <w:p>
      <w:r>
        <w:rPr>
          <w:b/>
        </w:rPr>
        <w:t>E. 4.2.3</w:t>
      </w:r>
    </w:p>
    <w:p>
      <w:r>
        <w:t>Soweit der Aufhebungsantrag sich ohne jede Begründung auf die zehn Preissenkungen bezieht, ist mangels ausreichender Substantiierung des Antrags insoweit auf die Beschwerde nicht einzutreten. Zu prüfen bleiben die Preissenkungen, Umteilungen und Limitierungen für B.b.a._______ und B.b.b._______ und B.b.c._______ zu (Packungsgrössen) (vgl. E. 6 f.).</w:t>
      </w:r>
    </w:p>
    <w:p>
      <w:r>
        <w:rPr>
          <w:b/>
        </w:rPr>
        <w:t>E. 5.1</w:t>
      </w:r>
    </w:p>
    <w:p>
      <w:r>
        <w:t>Die obligatorische Krankenpflegeversicherung (OKP)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5.2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5.3.1</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5.3.2</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5.3.3</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5.4</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5.4.1</w:t>
      </w:r>
    </w:p>
    <w:p>
      <w:r>
        <w:t>Die Beurteilung der Wirksamkeit von allopathischen Arzneimitteln muss sich auf klinisch kontrollierte Studien abstützen (Art. 65a KVV).</w:t>
      </w:r>
    </w:p>
    <w:p>
      <w:r>
        <w:rPr>
          <w:b/>
        </w:rPr>
        <w:t>E. 5.4.2</w:t>
      </w:r>
    </w:p>
    <w:p>
      <w:r>
        <w:t>Die Zweckmässigkeit eines Arzneimittels in Bezug auf seine Wirkung und Zusammensetzung wird nach klinisch-pharmakologischen und galenischen Erwägungen, nach unerwünschten Wirkungen sowie nach der Gefahr missbräuchlicher Verwendung beurteilt (Art. 33 Abs. 1 KLV). 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145 V 116 E. 3.2.2; BGE 137 V 295 E. 6.2; Urteil des BGer 9C_170/2021 vom 14. April 2021 E. 4.3). Das BAG stützt sich für die Beurteilung der Zweckmässigkeit auf die Unterlagen, die für die Zulassung durch die Swissmedic massgebend waren. Es kann weitere Unterlagen verlangen (Art. 33 Abs. 2 KLV). Weiter hat das Bundesamt die Meinungsäusserungen und Empfehlungen der beratenden Kommissionen, insbesondere der EAK, zu berücksichtigen (BGE 137 V 295 E. 6.2 in fine).</w:t>
      </w:r>
    </w:p>
    <w:p>
      <w:r>
        <w:rPr>
          <w:b/>
        </w:rPr>
        <w:t>E. 5.4.3</w:t>
      </w:r>
    </w:p>
    <w:p>
      <w:r>
        <w:t>Ein Arzneimittel gilt nach Art. 65b Abs. 1 KVV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w:t>
      </w:r>
    </w:p>
    <w:p>
      <w:r>
        <w:rPr>
          <w:b/>
        </w:rPr>
        <w:t>E. 5.5.1</w:t>
      </w:r>
    </w:p>
    <w:p>
      <w:r>
        <w:t>Das BAG kann die Aufnahme in die Spezialitätenliste mit Bedingungen und Auflagen verbinden (Art. 65 Abs. 5 KVV). Die Aufnahme kann unter der Bedingung einer Limitierung erfolgen. Die Limitierung kann sich insbesondere auf die Menge oder die medizinische Indikation beziehen (Art. 73 KVV; s. auch: Urteil des BGer 8C_523/2016 vom 27. Oktober 2016 E. 2.3, Bericht der Geschäftsprüfungskommission des Ständerates vom 25. März 2014 über die Aufnahme und Prüfung von Medikamenten in der Spezialitätenliste [BBl 2014 7775, Ziff. 3.4]). Solche Limitationen sind Instrumente der Wirtschaftlichkeitskontrolle, nicht Formen der Leistungsrationierung. Sie haben ausserdem den Zweck, eine missbräuchliche Verwendung von Medikamenten, die in der Spezialitätenliste aufgeführt sind, auszuschliessen oder zu minimieren (vgl. BGE 130 V 532 E. 3.1 m.H.) Zweckmässigkeit und Wirtschaftlichkeit erfordern allenfalls die Aufnahme eines Arzneimittels in die SL mit einer auf die Menge bezogenen Limitierung (vgl. BGE 137 V 295 E. 6.3.4.1 m.H., Gebhard Eugster, Krankenversicherung, in: Soziale Sicherheit, SBVR Bd. XIV, 3. Aufl. 2016, S. 622 Rz. 702 m.H.).</w:t>
      </w:r>
    </w:p>
    <w:p>
      <w:r>
        <w:rPr>
          <w:b/>
        </w:rPr>
        <w:t>E. 5.5.2</w:t>
      </w:r>
    </w:p>
    <w:p>
      <w:r>
        <w:t>Eine besondere Kategorie von Limitationen im Sinne von Art. 73 KVV stellen die sogenannten Gesamtlimitationen mit maximal zugelassener Punktzahl dar (sog. Punktelimitation). Auch die Punktelimitation dient als Instrument der Wirtschaftlichkeitskontrolle sowie dem Zweck, eine missbräuchliche Verwendung von in die SL aufgenommenen Medikamenten auszuschliessen oder zu minimieren (Urteil des BVGer C-6250/2014 vom 17. Januar 2017 E. 8.7 m.H.). Die Punktelimitationen sind in der vorliegend einschlägigen Spezialitätenliste 2018 (https://www.bundespublikationen.admin.ch/cshop_mimes_bbl/8C/8CDCD4590EE41ED88BB4908D2215742F.pdf; abgerufen am 26.07.2021) in den Allgemeinen Bestimmungen unter "V. Weisungen des BAG" (S. 18 f.) geregelt (nachfolgend SL-Weisungen). Ziffer 4 der SL-Weisungen 2018 lautet wie folgt: Wenn in der nachfolgenden Liste bei bestimmten Präparaten (Hormon-, Vitaminpräparaten usw.) die Verordnung durch einen entsprechenden Vermerk (L) limitiert ist, so hat die Ärztin oder der Arzt die versicherte Person ausdrücklich darauf hinzuweisen. Wenn eine Gesamtlimitation mit maximal zugelassener Punktzahl für die ganze therapeutische Gruppe (z.B. 01.04.10., Einfache Sedativa) oder eine maximal zugelassene Anzahl Packungen vorgesehen ist, so darf innert dreier Monate - auch wenn mehrere Arzneimittel derselben Gruppe verschrieben werden - die gesamthaft zugelassene Menge nur ein Mal zulasten der Krankenversicherer in Rechnung gestellt werden. Die Ärztin bzw. der Arzt sowie die Apothekerin bzw. der Apotheker haben die versicherte Person ausdrücklich darüber zu informieren. Jeder Packung eines nach Punkten limitierten Präparates wird eine Punktzahl zugeteilt, die dem Preis entsprechend folgender Tabelle zu entnehmen ist: Gesamtlimitation mit maximal zugelassener Punktzahl (inkl. 2,5% MWST)</w:t>
      </w:r>
    </w:p>
    <w:p>
      <w:r>
        <w:rPr>
          <w:b/>
        </w:rPr>
        <w:t>E. 5.5.3</w:t>
      </w:r>
    </w:p>
    <w:p>
      <w:r>
        <w:t>Die Gesamtlimitation ist damit für eine gesamte IT-Gruppe möglich, wobei sie sich systembedingt auf die IT-Gruppeneinteilung der Spezialitätenliste und nicht diejenige von Swissmedic stützt. Bei einer Bindung an die Einteilung von Swissmedic könnte die KVG-spezifische Festsetzung einer Limitation oder der Verzicht auf eine solche nicht im Ermessen des BAG liegen, was unter Beachtung von Art. 73 KVV eine unzulässige Ermessensunterschreitung des BAG zur Folge hätte (s. auch E. 6.3.3).</w:t>
      </w:r>
    </w:p>
    <w:p>
      <w:r>
        <w:rPr>
          <w:b/>
        </w:rPr>
        <w:t>E. 5.6.1</w:t>
      </w:r>
    </w:p>
    <w:p>
      <w:r>
        <w:t>Änderungen der SL betreffend Limitierungen, Mengen oder Indikationen beruhen jeweils auf einer Verfügung, die der Beschwerde an das Bundesverwaltungsgericht unterliegt (vgl. Urteil des BGer 9C_766/2008 vom 15. Juli 2009 E. 4.3; Gebhard Eugster, Rechtsprechung des Bundesgerichts zum KVG, 2018, Art. 52 Rz. 38; Thomas Gächter / Arlette Meienberger, Rechtsgutachten vom 8. Februar 2013, in: Evaluation der Zulassung und Überprüfung von Medikamenten in der obligatorischen Krankenpflegeversicherung - Materialien zum Bericht der Parlamentarischen Verwaltungskontrolle zuhanden der Geschäftsprüfungskommission des Ständerates vom 13. Juni 2013 [nachfolgend Gächter/Meienberger], Rz. 12).</w:t>
      </w:r>
    </w:p>
    <w:p>
      <w:r>
        <w:rPr>
          <w:b/>
        </w:rPr>
        <w:t>E. 5.6.2</w:t>
      </w:r>
    </w:p>
    <w:p>
      <w:r>
        <w:t>Das BAG kann nach der Aufnahme eines Arzneimittels in die Spezialitätenliste jederzeit prüfen, ob die Aufnahmebedingungen noch erfüllt sind (Art. 66a KVV). Überprüfungen, ob ein Originalpräparat die SL-Aufnahmebedingungen (weiterhin) erfüllt, erfolgen ferner im Rahmen der dreijährlichen Überprüfung (Art. 65d Abs. 1 KVV in Verbindung mit Art. 34d ff. KLV), bei Ablauf des Patentschutzes (Art. 65e Abs. 1 KVV), bei Indikationserweiterung oder wenn die Zulassungsinhaberin um Änderung oder Aufhebung einer Limitierung ersucht (Art. 65f Abs. 1 KVV) sowie bei einem Preiserhöhungsgesuch (Art. 67 Abs. 2 KVV in Verbindung mit Art. 36 Abs. 1 KLV). Ein in der SL aufgeführtes Arzneimittel wird gemäss Art. 68 Abs. 1 KVV unter anderem gestrichen, (Bst. a) wenn es nicht mehr alle Aufnahmebedingungen erfüllt oder (Bst. c) wenn die Inhaberin der Zulassung für ein Originalpräparat die gemäss Art. 65 Abs. 5 KVV verfügten Auflagen und Bedingungen nicht erfüllt (vgl. auch Urteil des BGer 9C_190/2020 vom 13. November 2020 E. 2.2.2).</w:t>
      </w:r>
    </w:p>
    <w:p>
      <w:r>
        <w:rPr>
          <w:b/>
        </w:rPr>
        <w:t>E. 5.6.3</w:t>
      </w:r>
    </w:p>
    <w:p>
      <w:r>
        <w:t>Aus den genannten Bestimmungen ergibt sich der Grundsatz, dass ein in der SL aufgeführtes Arzneimittel die SL-Aufnahmebedingungen zu jedem Zeitpunkt erfüllen muss, ansonsten es aus der Spezialitätenliste zu entfernen ist (vgl. Urteil des BGer 9C_190/2020 vom 13. November 2020 E. 2.2.2 mit Hinweis auf BGE 142 V 26 E. 5.2.3). 6. 6.1 Vorliegend ist unbestritten, dass die B.b._______-Präparate wirksam sind und für sie gültige Zulassungen des Schweizerischen Heilmittelinstituts Swissmedic vorliegen (vgl. auch die Liste der zugelassenen Präparate auf &lt; https://www.swissmedicinfo.ch &gt;). Auch die Wirtschaftlichkeit auf der Basis der verfügten Preissenkungen ist unbestritten. Nachfolgend ist daher zu prüfen, ob die mittels Verfügung für die B.b._______-Präparate erfolgte Umteilung und die eingeführte Punktelimitation unter dem Aspekt der Zweckmässigkeit rechtskonform sind und der TQV unter dieser Prämisse mit vergleichbaren Arzneimitteln durchgeführt wurde. 6.2 Einleitend stellt sich die Frage, ob die Umteilung von der IT-Gruppe 10.04 in die IT-Gruppe 10.10 als solche angefochten werden kann. 6.2.1 In seinem Urteil C-618/2016 vom 17. April 2019 (E. 3.4.1) hat das Bundesverwaltungsgericht ausgeführt, dass die Einteilung von Arzneimitteln in therapeutische Gruppen, der Zusammenschluss mehrerer solcher IT-Gruppen zu drei nahezu gleich grossen Einheiten und die Zulosung dieser Einheiten zu den Überprüfungsjahren einen organisatorischen Vorgang darstelle und keinen direkten Einfluss auf die Rechtsstellung der Zulassungsinhaberin des Arzneimittels habe. Durch die Zuteilung begründe das BAG keine Rechte oder Pflichten der Zulassungsinhaberinnen. Es handle sich bei einer solchen Einteilung somit nicht um eine anfechtbare Verfügung. Wie das BVGer weiter ausführte, hätte erst eine allfällige Preissenkungsverfügung einen (direkten) Eingriff in die Rechtsstellung der Zulassungsinhaberin des entsprechenden Arzneimittels zur Folge. Eine solche Verfügung könnte dann angefochten werden, womit gewährleistet sei, dass die Zulassungsinhaberin sich zur Einteilung in eine IT-Gruppe der SL später noch äussern und allfällige Rügen vorbringen könnte. 6.2.2 Vorliegend wurde mit der angefochtenen Verfügung keine Einteilung, jedoch eine Umteilung der B.b._______-Präparate von der IT-Gruppe 10.04 in die IT-Gruppe 10.10 verfügt. Aufgrund dieser Umteilung erfolgte gleichzeitig eine Punktelimitierung für die B.b._______-Präparate, in (vom BAG geltend gemachter) Wahrung der rechtsgleichen Behandlung aller in die IT-Gruppe 10.10 eingeteilten Arzneimittel und - zur Wahrung der Zweckmässigkeit des Arzneimittels - zur Beschränkung eines übermässigen Gebrauchs von B._______ zulasten der OKP. Festzuhalten ist, dass die angefochtene Verfügung damit nicht bloss einer organisatorischen Massnahme gleichkommt, sondern unbestrittenermassen direkte wirtschaftliche Auswirkungen für die Beschwerdeführerin hat und einen (direkten) Eingriff in die Rechtsstellung der Zulassungsinhaberin darstellt. Die Beschwerdeführerin durfte deshalb mit der Preissenkung zulässigerweise auch die Umteilung von B._______ in die IT-Gruppe 10.10 (inkl. Limitierung) zum Gegenstand ihrer Beschwerde erheben. 6.3 Das BAG macht sinngemäss geltend, dass die IT-Gruppenzuteilung durch Swissmedic die IT-Gruppenzuteilung auf der SL präjudiziere. 6.3.1 Von Swissmedic (bzw. ehemals der IKS) zugelassene Arzneimittel werden von dieser jeweils in verschiedene therapeutische Gruppen eingeteilt (sogenannter Index Therapeuticus [IT]; für die entsprechende Gliederung vgl. Swissmedic: Zugelassene Packungen Humanarzneimittel, &lt; https://www.swissmedic.ch/swissmedic/de/home/services/listen_neu.html#-257211596 &gt;, abgerufen am 26.07.2021). Diese Einteilung in verschiedene IT-Gruppen verwendet auch das BAG für die Spezialitätenliste (BAG: IT-Register, &lt; http://www.spezialitätenliste.ch/ShowItCodes.aspx#itcode-10. &gt;, abgerufen am 26.07.2021). Das BAG (bzw. das zuvor zuständige Bundesamt für Sozialversicherungen [BSV]) hat die einzelnen Arzneimittel nicht durchgehend in die gleichen IT-Gruppen eingeteilt wie Swissmedic (vgl. die genannten Internetseiten; Urteil des BVGer C-6250/2014 E. 8.6). Es gibt denn auch keine Gesetzes- oder Verordnungsbestimmungen, die vorsehen würden, dass die IT-Gruppenzuteilung durch Swissmedic auch für die IT-Gruppenzuteilung auf der SL gilt oder das BAG dazu verpflichtet wäre, die SL-Gruppenzuteilung von der IT-Gruppeneinteilung der Swissmedic zu übernehmen. Vielmehr setzen verschiedene Verordnungsbestimmungen voraus, dass das BAG in der SL eine autonome IT-Gruppenzuteilung vornimmt (vgl. namentlich Art. 65d Abs. 1 KVV: "aufgrund ihrer Zugehörigkeit zu einer therapeutischen Gruppe der Spezialitätenliste" und Art. 34d Abs. 1 KLV: "Arzneimittel, die sich in der gleichen therapeutischen Gruppe (IT-Gruppe) der Spezialitätenliste befinden"). In diesem Zusammenhang ist darauf hinzuweisen, dass ein Arzneimittel nur in eine IT-Gruppe eingeteilt wird, obwohl es mehrere Indikationen aufweisen kann, für die eine heilmittelrechtliche Zulassung beantragt und erteilt wurde (vgl. Urteil C-6250/2014 E. 8.6). 6.3.2 Entgegen den Ausführungen des BAG ist auch keine feste Praxis ersichtlich, wonach das BAG die von der Swissmedic vorgesehene IT-Gruppeneinteilung für die Einteilung in der SL unbesehen übernimmt. Exemplarisch wird dies betreffend die B.b._______-Präparate ersichtlich: Denn einerseits haben zunächst die IKS und dann Swissmedic sämtliche B.b._______-Präparate und -Packungen in die IT-Gruppe 10.10 aufgenommen und seither unverändert dort belassen. Andererseits wurden die einzelnen B.b._______-Präparate bzw. -Packungen vom BSV bzw. BAG auf der SL zunächst in der IT-Gruppe 10.10 geführt und dann - in Abweichung zur IT-Gruppeneinteilung von Swissmedic - in die IT-Gruppe 10.04 umgeteilt bzw. von Anfang an in die IT-Gruppe 10.04 aufgenommen (s. oben Sachverhalt Bst. B und C; vgl. auch Beschwerde S. 8; Beschwerde-Beilage 11 S. 5). Ausserdem enthalten die SL-Weisungen den Hinweis, dass die Gruppierung der Präparate sowie die Angaben über deren Zusammensetzung den Charakter nützlicher Hinweise hätten; eine Gewähr für Vollständigkeit bestehe aber nicht (Ziff. 9, 3. Absatz). 6.3.3 Damit präjudiziert die Zuteilung eines Arzneimittels durch Swissmedic in eine bestimmte IT-Gruppe die Zuteilung in der SL nicht (vgl. dazu auch E. 5.5.3) und kann diesbezüglich dem BAG in seiner Argumentation nicht gefolgt werden. 6.4 Die Parteien äussern sich zur Zweckmässigkeit weiter wie folgt: 6.4.1 In der angefochtenen Verfügung (inkl. Beilage "Begründung der Zweckmässigkeit") begründete das BAG die für B.b.a._______ und B.b.b._______ eingeführten Punktelimitationen damit, dass die beiden Arzneimittel von Swissmedic mit Einteilung in die IT-Gruppe 10.10 zugelassen worden seien und die Arzneimittel deshalb auch auf der SL in die IT-Gruppe 10.10 umzuteilen seien. Da die IT-Gruppe 10.10 - um einem missbräuchlichen Mehrverbrauch auf Kosten der OKP vorzubeugen - einer Gesamtlimitation unterstehe, erfordere die Umteilung der B.b._______-Präparate in die IT-Gruppe 10.10 die Einführung von Punktelimitationen für diese Präparate. Zudem sei aufgrund der dem BAG vorliegenden und bekannten Daten das Kriterium der Zweckmässigkeit für die B.b._______-Präparate in der IT-Gruppe 10.04 nicht mehr erfüllt. Nur mit einer Umteilung in die IT-Gruppe 10.10 und der Einführung der Punktelimitation sei die Zweckmässigkeit noch gegeben. Das BAG habe anhand dem ab 1. Dezember 2018 geltenden Publikumspreis die Anzahl Punkte für B.b.a._______ und B.b.b._______ bestimmt. 6.4.2 In ihrer Beschwerde (B-act. 1) weist die Beschwerdeführerin darauf hin, dass B.b.a._______ und B.b.b._______ aufgrund ihres Wirkstoffes (E._______) in der SL seit 1994 unlimitiert in der IT-Gruppe 10.04 figurierten, obschon Swissmedic sie in die IT-Gruppe 10.10 aufgenommen habe. Noch am (...) 2011 habe das BAG B.b.c._______ unlimitiert in die IT-Gruppe 10.04 der SL aufgenommen. Im Jahr 2012 habe das BAG zudem - nach Gewährung des rechtlichen Gehörs zur beabsichtigten Umteilung - die Präparate unlimitiert in der IT-Gruppe 10.04 belassen. Seit 1994 habe sich nichts an B.b.a._______ und B.b.b._______ geändert. Beide Präparate enthielten weiterhin den Wirkstoff E._______. Es habe sich auch an deren Zweckmässigkeit nichts geändert. Eine Änderung habe das BAG nicht begründet. Vielmehr erfüllten die B.b._______-Präparate mit Bezug auf die klinisch-pharmakologischen Erwägungen (vgl. Art. 33 KLV) auch aus wissenschaftlicher Sicht das Zweckmässigkeitskriterium weiterhin (vgl. Beschwerde Rz. 38). Eine Limitation würde bedeuten, dass Patienten mit einer (...), die mehr B.b.a._______ oder B.b.b._______ benötigten als die maximal vergütete Menge, zwangsläufig mehr der teureren und unlimitierten Präparate verwenden würden. Angesichts des therapeutischen Nutzens, der tiefen Kosten und der geringen Risiken von B.b.a._______ und B.b.b._______ sei nicht ersichtlich, inwiefern eine Limitierung derselben zweckmässig sein solle, wenn eine Limitierung (faktisch) zu höheren Gesamtkosten der Behandlung (...) führe (vgl. Beschwerde Rz. 38, 43-45). Schliesslich sei nicht ersichtlich, inwiefern die Zweckmässigkeit bei den B.b._______-Präparaten anders zu beurteilen wäre, als bei anderen Präparaten der IT-Gruppe 10.04 mit dem Wirkstoff E._______. Betreffend X._______ gehe das BAG offensichtlich davon aus, dass dieses mit B._______ vergleichbar sei, führe es doch den TQV unter anderem mit diesem Präparat durch. Wenn die Zweckmässigkeit der IT-Gruppe 10.10 in der SL - wie das BAG ausführe - bereits seit längerem umstritten sei und deshalb ein Ausschluss der gesamten IT-Gruppe 10.10 aus dem Geltungsbereich der SL immer wieder thematisiert werde, spreche auch dies gegen eine aktuelle Änderung der Zweckmässigkeitsbeurteilung. 6.4.3 In seiner Vernehmlassung (B-act. 9) führte das BAG in Ergänzung zur angefochtenen Verfügung aus, die Annahme der Beschwerdeführerin, dass das BAG die Zweckmässigkeit von Arzneimitteln mit dem gleichen Wirkstoff E._______ unterschiedlich beurteile und deshalb solche Arzneimittel ungleich behandle, sei unzutreffend. Vielmehr beachte das BAG stets das Gleichbehandlungsgebot, weshalb auch das Arzneimittel X._______ umgeteilt worden sei und jetzt in der IT-Gruppe 10.10 figuriere. 6.4.4 In ihrer Replik (B-act. 15) macht die Beschwerdeführerin geltend, das BAG verkenne, dass aus der Zulassung durch die Swissmedic mit Bezug auf das krankenversicherungsrechtliche Kriterium der Zweckmässigkeit nichts bzw. nur bezogen auf gewisse Teilelemente etwas abgeleitet werden könne. Zudem hätte diese simple Argumentation schon 1994 gelten müssen oder zuletzt 2011, bei der jüngsten SL-Aufnahme eines B._______-Präparates. Das BAG widerspreche sich damit selbst bzw. konzediere automatisch, dass die Swissmedic-Einteilung nicht das Mass aller Dinge in Bezug auf die IT-Gruppeneinteilung im Rahmen der SL sei. Das BAG habe zudem weder dargelegt, inwiefern die Dokumentation der Swissmedic betreffend B._______ Informationen zur Frage enthalte, ob B._______ seinem Zweck entsprechend und massvoll verwendet werden könne, noch erklärt, inwiefern aus der Zulassung der Swissmedic Schlüsse mit Bezug auf die einzelfallbezogene Zweckmässigkeit von B._______ gezogen werden könnten. Das BAG verweise pauschal auf die IT-Gruppe, in welche B._______ durch die Swissmedic eingeteilt worden sei. Weshalb diese Einteilung ausnahmsweise für die krankenversicherungsrechtliche Beurteilung der Zweckmässigkeit von B._______ relevant sei, erläutere das BAG mit keinem Wort. Im Weiteren gehe es vorliegend nicht um topische (zur äusserlichen Anwendung eingesetzte) Arzneimittel, die (...), sondern um (...) bei (...), für welche B._______ in seiner aktuell rechtsgültigen Einteilung vorgesehen sei. Wer unter (...) leide, habe nicht das geringste Interesse, nicht indizierte "Übermengen" zu applizieren, weil dies (...) kontraproduktiv sei. Bei der Verwendung topischer Arzneimittel zum (...) sei zwar eine Applikation von Übermengen auch nicht vorteilhaft. Da der Krankheitswert geringer sei, könne es eher zu einer Übermengenapplikation kommen. In Bezug auf das Arzneimittel "X._______" unterschlage das BAG Entscheidendes: "X._______" gebe es nicht. Das Arzneimittel heisse "X.b._______". Damit sei bereits deklaratorisch durch die Zulassungsinhaberin eine Einteilung in die Arzneimittel zur Behandlung empfindlicher Haut intendiert. Wenn "X.b._______ " ein vergütungspflichtiges Arzneimittel darstelle, dann fraglos nur unter dem IT-Code 10.10 der SL "Mittel für empfindliche Haut". Die Umteilung von "X.b._______" sei daher korrekt erfolgt. Demgegenüber hätten Patienten mit chronischem Ekzem (IT-Code 10.04) nach wie vor Bedarf an geeigneter Basistherapie in Form von B._______, ohne Punktelimitation, weil je nach (...) die notwendige Menge an B._______ variiere. Einen Missbrauch könne der Krankenversicherer einfach erkennen. Er könne sein System so programmieren - wie er das für viele Arzneimittel tue - dass unüblich hohe Mengen herausgefiltert würden. Blieben daraufhin klärende Erläuterungen des behandelnden Arztes aus, könne der Krankenversicherer die Zweckmässigkeit im Einzelfall korrigieren. 6.4.5 In seiner Stellungnahme vom 16. Februar 2021 (BVGer-act. 26) führte das BAG ergänzend aus, dass B.b.b._______ im Rahmen des TQV mit Y.b._______, X.c._______ und Z.b._______ verglichen worden sei. Die beiden Vergleichsarzneimittel X.c._______ und Y.b._______ seien wie B.b.a._______ und B.b.b._______ und B.b.c._______ von Swissmedic in der therapeutischen Gruppe (IT-Gruppe) 10.10 zugelassen worden, jedoch zwischenzeitlich beide - im Gegensatz zu B.b.b._______ - in der Spezialitätenliste in der korrekten IT-Gruppe 10.10 eingeteilt und somit limitiert worden. Für die Mehrheit der Vergleichspräparate seien daher die maximalen Kosten, die zu Lasten der OKP generiert werden könnten, beschränkt. Pro Quartal (3 Monate) könnten pro versicherte Person maximal (...) Packungen Y.b._______ abgerechnet werden und maximal (...) Packungen X.c._______. B.b.b._______ sei im Vergleich mit den drei erstgenannten Arzneimitteln als wirtschaftlich erachtet worden. Da zwei der drei Vergleichsarzneimittel bezüglich der maximal abrechenbaren Kosten limitiert seien, könne auch B.b.b._______ nur als wirtschaftlich erachtet werden, wenn es ebenfalls limitiert werde und pro Quartal maximal (...) Packungen zu Lasten der OKP abgerechnet werden könnten, was maximale Kosten auf Basis des Publikumspreises von Fr. (...) generiere. 6.4.6 In ihrer Stellungnahme vom 22. März 2021 (BVGer-act. 27) führte die Beschwerdeführerin aus, dass das BAG in der angefochtenen Verfügung zum Schluss gelangt sei, dass der FAP von B._______ gestützt auf den durchgeführten TQV bei einer Preissenkung von (...)% als wirtschaftlich zu erachten sei. Eine Einschränkung der Anwendung von B.b.a._______ und B.b.b._______ mittels Limitierung zum Zwecke der Senkung der Gesundheitskosten käme somit nur in Frage im Falle einer Gefahr missbräuchlicher Verwendung (Art. 33 KLV i.V.m. Art. 73 KVV). Diesen Umstand hätte das BAG darlegen und entsprechend belegen müssen. Das BAG habe auch keinerlei Ausführungen dazu gemacht, inwiefern sich eine allfällige Gefahr der missbräuchlichen Verwendung im Vergleich zu den letzten 24 Jahren geändert haben sollte. Selbst wenn vorliegend von einer Gefahr missbräuchlicher Verwendung auszugehen wäre, was bestritten werde, wären vielmehr die Verschreibungen zu kontrollieren. Ein Krankenversicherer sehe genau, wie viel B._______ ein Patient pro Jahr beziehe. Bei einer vermuteten missbräuchlichen Verwendung müssten die Krankenversicherer entsprechend direkt auf die betreffenden Patienten bzw. Ärzte zugehen, um zu prüfen, ob die Verwendung tatsächlich missbräuchlich sei (vgl. Art. 57 Abs. 4 und 6 KVG). Eine Limitierung für sämtliche Patienten sei hingegen weder sachgerecht noch verhältnismässig. Eine Spezifizierung der Anwendung mittels Limitierung möge bei gewissen Arzneimitteln zur Durchsetzung der WZW-Kriterien erforderlich sein, weil bspw. eine indizierte Dosierungsangabe gemäss Fachinformation in der SL zu deren Durchsetzung verdeutlicht werde. Bei der Behandlung von (...) hingegen, die mit (...) assoziiert seien (wie [...] etc.), müsse eine solche Limitierung allerdings geradezu als Schikane bezeichnet werden. Die notwendigen Mengen variierten aufgrund des Krankheitsbildes und der grossen Unterschiede an Körperoberflächen enorm (kleine schlanke oder grosse schwere Person), sodass die beabsichtigte Limitierung schlicht ungeeignet sei, WZW-Kriterien ohne Verletzung der Patientenrechte durchzusetzen. Eine Limitierung von B._______, das als (...) eingesetzt werde, würde dazu führen, dass Patienten innert drei Monaten maximal (...) Packungen vergütet erhielten, d.h. eine (...) Packung pro Monat, obwohl B._______ gemäss Fachinformation (...) Mal pro Tag anzuwenden sei. Bei den dargestellten (...) verstehe sich von selbst, dass dies in den meisten Fällen nicht genüge. Eine adäquate Therapie - bspw. mit dem kostengünstigen B._______ - trage nachweislich zur positiven Beeinflussung der Symptome und damit auch zum Erfolg der Langzeitbehandlung einer solchen (...) bei. Dabei könnten z.B. die symptom- bzw. erscheinungsfreien Phasen bei (...) deutlich verlängert werden. Das wirke sich auf die Behandlungskosten direkt kostensenkend aus. Präparate mit dem Wirkstoff E._______ verbesserten sodann die Penetration von W._______ und anderen topischen Wirkstoffen, was sich ebenfalls kostenreduzierend auswirke. Durch eine verbesserte Penetration könnten W._______ und andere topische Wirkstoffe eingespart und dadurch Nebenwirkungen reduziert werden. 6.4.7 In seiner Stellungnahme vom 21. April 2021 (BVGer-act. 29) erläuterte das BAG, dass die verfügte Limitierung einer missbräuchlichen Mehrverwendung entgegenwirken solle und eine solche bei einer ungerechtfertigten Mehrverwendung vorliegen könne. Schliesslich sei B._______ zugelassen und speziell geeignet für (...) und nicht nur für (...), worauf die Beschwerdeführerin fokussiere. Es könne deshalb nicht ausgeschlossen werden, dass bei fehlender Limitierung B._______ missbräuchlich auch als Lotion zur Pflege des ganzen Körpers und nicht nur erkrankter Stellen eingesetzt und von der OKP vergütet werde. Sollte eine versicherte Person aufgrund einer grossflächig zu behandelnden Stelle oder mehrerer Körperstellen mehr B._______ benötigen, habe der behandelnde Arzt oder die behandelnde Ärztin (gemäss den Allgemeinen Bestimmungen zur Spezialitätenliste, Ziffer V: Weisungen des BAG) die Möglichkeit, eine Kostengutsprache zu beantragen. Schliesslich verkenne die Beschwerdeführerin, dass bei (...) Erkrankungen ohnehin W._______ oder andere Therapeutika benötigt würden und die Limitierung von B._______ deshalb nicht zwangsläufig zu einem Mehrverbrauch der anderen Arzneimittel oder einem Ausweichen der Patientinnen oder Patienten auf (mehr) teurere Präparate führe. 6.4.8 In ihren Schlussbemerkungen vom 22. April 2021 (BVGer-act. 30) führte die Beschwerdeführerin aus, dass es zwar naheliege, ein limitiertes Arzneimittel im Rahmen des TQV stets nur mit ebenfalls limitierten Arzneimitteln zu vergleichen. Daraus folge aber nicht zwingend die Notwendigkeit, dass alle diese Arzneimittel gleichermassen limitiert bzw. nicht limitiert sein müssten. Es komme durchaus vor, dass eine Limitierung eines Arzneimittels ein direktes Resultat seines Preises sei. In diesem Fall werde die Therapie mit dem entsprechenden Arzneimittel typischerweise erst dann von der OKP übernommen, wenn andere (günstigere) Arzneimitteltherapien keine Wirkung gezeitigt hätten (Erstlinientherapie und Zweitlinientherapie). Vorliegend könne jedoch nicht von einem solchermassen teureren Arzneimittel die Rede sein. Die Vorinstanz ziehe zudem einen unrichtigen Umkehrschluss: Sie gehe davon aus, dass jedes mit einem anderen Arzneimittel verglichene Arzneimittel zwingend die Limitierung des anderen Arzneimittels aufweisen müsse. Richtig sei hingegen, dass bei einem nicht limitierten Arzneimittel wie B._______ mangels genügender Vergleichsarzneimittel (ebenfalls ohne Limitatio) darüber hinaus nach weiteren aussagekräftigen Vergleichsarzneimitteln (mit Limitatio) gesucht werden könne. Der Preis von B._______ werde durch die Preise mehrerer pharmakologisch ähnlicher Arzneimittel in wirtschaftlicher Hinsicht besser überprüfbar, als hätte man nur ein Arzneimittel für den wirtschaftlichen Vergleich herangezogen. Die Limitatio reguliere im vorliegenden Fall den WZW-konformen Einsatz pharmakologisch vergleichbarer, d.h. preislich vergleichbarer Arzneimittel bei unterschiedlichen Patientengruppen. Rechtserheblich sei die von der Vorinstanz unbestrittene Tatsache, dass die gleiche Limitatio ungleiche Patientengruppen mit unterschiedlichen Bedürfnissen gleichermassen betreffen würde. 6.5 6.5.1 Wirtschaftlichkeitsvergleichen sind die Fachinformationen des jeweiligen Arzneimittels zugrunde zu legen (Urteile des BVGer C-7112/2017 E. 7.3; C-6250/2014 E. 8.1). Nichts anderes gilt für den Zweckmässigkeitsvergleich, zumal Art. 33 Abs. 2 KLV auf die für die Zulassung durch Swissmedic massgebenden Unterlagen Bezug nimmt (vgl. implizit auch Urteil C-471/2019 E. 6.8.2 und E. 7.4). Ist ein Arzneimittel gemäss Art. 13 Abs. 3 der Arzneimittel-Zulassungsverordnung vom 9. November 2001 (AMZV, SR 812.212.22; in der bis 31. Dezember 2018 geltenden Fassung) von der Arzneimittel-Fachinformationspflicht befreit, ist für den TQV auf seine Arzneimittel-Patienteninformation gemäss Art. 14 AMZV abzustellen. Immerhin werden auch die Arzneimittel-Patienteninformationen von Swissmedic eingehend geprüft. Alleine daraus, dass für ein bestimmtes Arzneimittel eine Arzneimittel-Fachinformation existiert, für ein anderes hingegen "nur" eine Arzneimittel-Patienteninformation, kann keine Partei per se etwas zu ihren Gunsten herleiten (vgl. Urteil des BVGer C-6250/2014 vom 17. Januar 2017 E. 8.9). 6.5.2 Vorliegend existieren für alle drei B.b._______-Präparate keine Fachinformationen, weshalb die Prüfung der Zweckmässigkeit auf der Basis der von Swissmedic genehmigten Patienteninformation zu erfolgen hat. 6.6 6.6.1 Der Patienteninformation zu den B.b._______-Präparaten lässt sich hauptsächlich Folgendes entnehmen: Alle drei B.b._______-Präparate enthalten den Wirkstoff E._______. Als Konservierungsmittel werden L._______ (B.b.a._______) oder M._______, N._______ (B.b.b._______) und als weitere Stoffe O._______, weitere Aromastoffe und Hilfsstoffe (B.b.a._______) oder Aromastoffe sowie weitere Hilfsstoffe (B.b.b._______) genannt. Die B.b._______-Präparate verbessern und normalisieren den Hautzustand, indem sie den natürlichen Schutzfilm mit Lipiden und einem Feuchthalter ergänzen. Dadurch glätten sie die raue Oberfläche und machen die Haut elastisch und widerstandsfähig. B.b.a._______ ist (...) vom Öl-in-Wasser-Typ mit dem Wirkstoff E._______ (E._______; [Wirkstoffkonzentration]). (...) B.b.b._______ enthält den Wirkstoff E._______ in höherer Konzentration (Wirkstoffkonzentration) und in einer stärker fettenden Wasser-in-Öl-Emulsion. (...) Beide Produkte sind speziell geeignet für die grossflächige Anwendung (...). B.b.a._______ zur Anwendung beim (...), B.b.b._______ bei (...). Beide Präparate eignen sich für (...). B.b.a._______ wird (...) täglich auf die erkrankten oder empfindlichen Hautstellen aufgetragen. Bei Anwendung von B.b._______ (...). 6.6.2 Die umstrittenen B.b._______-Präparate zeichnen sich somit insbesondere dadurch aus, dass sie als Wirkstoff E._______/E._______ enthalten, der diuretische (entwässernde), keratolytische (hornlösende), wasserbindende und bakterizide Eigenschaften aufweist. Medizinisch eingesetzt wird E._______ als Q._______, bei trockener Haut, auf Wunden und zur Penetrationsförderung von Arzneimitteln (Pschyrembel, E._______ [Arzneimittel]; abgerufen am 7.10.2021). Namentlich sind B.b._______-Präparate auch für (...) und zur (...) indiziert. Eine besondere Betonung erfährt (...). Ausserdem (...). Unter diesen Umständen kann den Präparaten (ohne Limitation) nicht per se die Zweckmässigkeit abgesprochen werden. 6.7 Die IT-Gruppe 10.04 ("Mittel gegen chronisches Ekzem und Seborrhoe") der Spezialitätenliste, die keiner Gesamtlimitation untersteht, umfasste zum hier relevanten Zeitpunkt bis zur angefochtenen Verfügung neben den oben genannten drei B.b._______-Präparaten weitere vier Monopräparate mit dem Wirkstoff E._______: X.c._______ (Packung), (welches von den Parteien einvernehmlich als Vergleichsarzneimittel in den TQV einbezogen wurde), X.a._______, (Packung), Z.a._______ (Packung), (welches von den Parteien einvernehmlich als Vergleichsarzneimittel in den TQV einbezogen wurde) und Z.b._______, (Packung). Ausserdem befindet sich in der IT-Gruppe 10.04 namentlich J.a._______, das kein E._______ enthält. 6.7.1 X.c._______ und X.a._______ unterstanden gemeinsam exklusiv einer gesamthaften Punktelimitation von 50 Punkten (X.c._______: 30 Punkte, X.a._______: 20 Punkte). Der von Swissmedic genehmigten Fachinformation für X.c._______, lässt sich namentlich Folgendes entnehmen: (Wirkstoffkonzentration) E._______. Indikationen und Anwendungsmöglichkeiten von X.c._______ sind: (...) sowie (...). Die Anwendung (...). Die Dauer der Anwendung ist individuell festzulegen und nicht zeitlich begrenzt, da die Krankheitsbilder, bei denen X.c._______ angewandt wird, z.B. (...) in der Regel einer Dauertherapie bedürfen. Unter Interaktionen wird angeführt, dass (...). Dies sei insbesondere von W._______ [...] bekannt. Nicht gefolgt werden kann aufgrund der Fachinformation der Aussage der Beschwerdeführerin, es sei offensichtlich, dass X._______ aufgrund seiner Bezeichnung "X.b._______"" primär für die Behandlung empfindlicher Haut intendiert sei. 6.7.2 Für Z.a._______ und Z.b._______ (die keiner Limitation unterstanden) besteht eine gemeinsame von Swissmedic genehmigte Fachinformation. Dieser lässt sich namentlich Folgendes entnehmen: Sowohl Z.a._______ als auch Z.b._______ enthalten (Wirkstoffkonzentration) E._______. Indikationen und Anwendungsmöglichkeiten sind: (...). Die Dauer der Anwendung ist individuell festzulegen und nicht zeitlich begrenzt, da die Krankheitsbilder, bei denen Z._______ angewandt wird (z.B. [...]), in der Regel einer Dauertherapie bedürfen. Z._______ könne auch (...). Unter Interaktionen wird ausgeführt, dass (...). 6.8 Der TQV mit Y.b._______ veranlasst das Gericht zu folgender Ergänzung: 6.8.1 Das Vergleichsarzneimittel Y.b._______ ist in der IT-Gruppe 10.07 der Spezialitätenliste erfasst. Die IT-Gruppe 10.07 ("Keratolytica" [Arzneimittel zur Auflösung der oberen Hautschichten {Hornhaut}]) unterstand im massgebenden Zeitpunkt keiner Gesamtpunktelimitation. Sie enthielt zwei Monopräparate mit dem Wirkstoff E._______: Y.b._______ (welches von den Parteien einvernehmlich als Vergleichsarzneimittel in den TQV einbezogen wurde) und Y.a._______. 6.9 Der von Swissmedic genehmigten Fachinformation für Y.b._______ ist das Folgende zu entnehmen: Y.b._______ enthält vom Wirkstoff E._______ (Wirkstoffkonzentration). Indikationen und Anwendungsmöglichkeiten sind: (...). Die Y.b._______ werde je nach Bedarf (...) aufgetragen und leicht einmassiert. (...) 6.10 6.10.1 J.a._______ wurde von der Vorinstanz im TQV nicht berücksichtigt, jedoch rügte die Beschwerdeführerin, dass J.a._______, als "wirkstofffreies Vehikel" und damit nicht zweckmässiges Arzneimittel rechtsungleich in der IT-Gruppe 10.04 geführt werde (Bst. C.d). 6.10.2 Da der angefochtenen Verfügung nicht nur eine Wirtschaftlichkeitsprüfung (über den TQV) zugrunde lag, und damit ein Kostenvergleich mit (vergleichbaren) Arzneimitteln zur Behandlung einer bestimmten Erkrankung (Urteil des BGer 9C_710/2020 vom 10. August 2021 E. 4.2.1 m.H.), sondern auch und insbesondere eine Prüfung der (von der Vorinstanz verneinten) Zweckmässigkeit von B.b._______ als Arzneimittel "mit Wirkstoff" bzw. als "Mittel gegen chronisches Ekzem und Seborrhoe" in der IT-Gruppe 10.04, ist der von der Beschwerdeführerin ins Feld geführte Vergleich mit einem anderen Arzneimittel, das per 19. Oktober 2018 in der IT-Gruppe 10.04 ohne Limitation geführt und somit als zweckmässig erachtet wurde, zuzulassen. 6.10.3 Der von Swissmedic genehmigten Fachinformation für J.a._______, lässt sich namentlich Folgendes entnehmen: Wirkstoffe der Salbe sind R._______ (Anteil), T._______ (Anteil), S._______ (Anteil). Es handelt sich um eine lipophile Salbe enthaltend R._______, S._______ und T._______, wobei das S._______ (Anteil) den Hauptbestandteil der Salbengrundlage bildet. Unter Indikationen und Anwendungsmöglichkeiten werden aufgeführt: (...) Bei Erwachsenen wird das Präparat erfahrungsgemäss und traditionell bei (...) eingesetzt. (...). 7. 7.1 In Bezug auf den Vergleich zwischen den B.b._______-Präparaten einerseits und andererseits X.c._______, ergibt sich aus dem in E. 6 Ausgeführten namentlich das Folgende: 7.1.1 Beide Präparatgruppen enthalten den Wirkstoff E._______ mit den vorgenannten Eigenschaften. Die B.b._______-Präparate sind speziell geeignet für (...). Allerdings eignen sich die B.b._______-Präparate auch für (...). Eine Gefahr der missbräuchlichen Verwendung der Packung mit (...) wird in Berücksichtigung der Ausführungen des BAG zur Grosspackung nicht ohne weiteres ersichtlich. 7.1.2 Demgegenüber dient das X._______-Präparat in erster Linie der Behandlung (...). Ausserdem ist X._______ im Gegensatz zu B.b._______ in Bezug auf (...) eingeschränkt, da (...). Auch ist X._______ nicht zur (...) indiziert. 7.1.3 Insgesamt unterliegt X._______ in der Beurteilung der Zweckmässigkeit Einschränkungen im Vergleich zu B.b._______. 7.2 7.2.1 In Bezug auf den Vergleich mit Z.b._______ ist Folgendes festzuhalten: Auch Z.b._______ enthält den Wirkstoff E._______. Indikationen und Anwendungsmöglichkeiten sind in erster Linie (...). Z.b._______ wird auch zur (...) angewandt. 7.2.2 Anders als bei B.b._______ wird für Z.b._______ weder angegeben, dass (..), noch (...). Dies indiziert, dass Z.b._______ in Bezug auf (...) Abweichungen zu B._______ aufweist. Z.b._______ kann (...). Diesbezüglich bietet B.b._______ ein geringeres Risikoprofil als Z.b._______. Ausserdem ist Z.b._______ gemäss den Fachinformationen - im Gegensatz zu B.b._______ - nicht zur (...) indiziert. 7.2.3 Insgesamt liegt Z.b._______ in der Beurteilung der Zweckmässigkeit - trotz gleichem Wirkstoff - (vordergründig) hinter B.b._______. 7.3 7.3.1 In Bezug auf einen Vergleich der B.b._______-Präparate mit Y.b._______ ist das Folgende festzuhalten: Y.b._______ ist - entgegen B.b._______ - in der IT-Gruppe 10.07 ("Keratolytica") aufgenommen worden, enthält - wie B.b._______ - den Wirkstoff E._______. Indikationen und Anwendungsmöglichkeiten sind: (..) 7.3.2 Die Anwendungsgebiete von B.b._______ und Y.b._______ überschneiden sich somit nur teilweise. Insbesondere ist Y.b._______ nicht zur (...) indiziert, und auch nicht zur (...). Vielmehr dürfe Y.b._______ - im Hinblick auf mögliche Interaktionen - nicht (...). 7.3.3 Im Vergleich zu Y.b._______ ist B.b._______ somit für (...) indiziert und umfasst auch in Hinsicht auf die Einschränkungen (...) betreffend die damit (im Wesentlichen) gefahrlos behandelbaren Personengruppen einen etwas weiteren Kreis. Unter diesen Umständen ist B.b._______ in diesem Vergleich als zweckmässiger zu beurteilen. 7.4 7.4.1 In Bezug auf einen Vergleich der B.b._______-Präparate mit J.a._______, ist das Folgende festzuhalten: J.a._______ enthält den Wirkstoff E._______ nicht. Auch die Indikationen und Anwendungsmöglichkeiten unterscheiden sich von denjenigen von B.b._______. Insbesondere aber ist J.a._______ nicht für (...) anwendbar. In diesem Punkt ist J.a._______ aufgrund der von Swissmedic genehmigten Fachinformation nicht als wirksam und damit als nicht zweckmässig zu erachten und ein direkter Vergleich mit B.b._______ würde bereits daran scheitern. (...) 7.4.2 Selbst wenn ein auch andere Indikationen umfassender Vergleich mit B.b._______ zielführend wäre und durchgeführt würde, könnte J.a._______ im direkten Vergleich jedenfalls nicht als zweckmässiger bewertet werden als B.b._______. Unter diesen Umständen kann offenbleiben, inwiefern die in der Fachinformation enthaltene Aussage, wofür J.a._______ "erfahrungsgemäss und traditionell" eingesetzt oder verwendet, eine Relativierung der attestierten Wirksamkeit und Zweckmässigkeit indiziert. 7.5 Die B.b._______-Präparate erweisen sich somit gegenüber den zum Vergleich beigezogenen Arzneimittel vordergründig als zweckmässiger bzw. als nicht weniger zweckmässig im Vergleich zu den in der IT-Gruppe 10.04 geführten Vergleichsarzneimitteln des TQV sowie von J.a._______. 7.6 Da die B.b._______-Präparate sich sowohl per se als auch im Vergleich zu anderen Präparaten, die zum Zeitpunkt der angefochtenen Verfügung in der IT-Gruppe 10.04 geführt und im TQV berücksichtigt wurden, als zweckmässig erweisen, ist die Umteilung in die IT-Gruppe 10.10 und die damit verbundene Einführung einer Limitation unter dem Aspekt der Zweckmässigkeit nicht nachvollziehbar. 7.7 Einvernehmlich wurde für den TQV keines der Arzneimittel der IT-Gruppe 10.10 ("Mittel für empfindliche Haut") der Spezialitätenliste, welche einer Gesamtpunktelimitation von 60 Punkten unterstand, als Vergleichsarzneimittel verwendet, obwohl das BAG die drei umstrittenen Präparate in diese IT-Gruppen verschieben möchte. Dieser Umstand spricht (ebenfalls) gegen eine vorliegend sämtliche Aspekte der Zweckmässigkeit umfassende WZW-Prüfung. 7.8 7.8.1 Zu ergänzen bleibt, dass die Ausführungen der Vorinstanz im rechtlichen Gehör zur beabsichtigten Umteilung vom 14. September 2011 in sich eine stimmige Abgrenzung für die IT-Gruppen 10.04 und 10.10 und für den Umgang mit Grosspackungen enthalten und überzeugend erscheinen (vgl. Bst. C.b). Dies kann aber nicht für die ab 11. Juli 2017 ins Feld geführten Argumente der Vorinstanz (vgl. Bst. D) gesagt werden: So hat die Vorinstanz auch auf Nachinstruktion hin für das Gericht nicht nachvollziehbar erläutert, welche aktuellen Elemente für oder gegen die Zweckmässigkeit der in der IT-Gruppe 10.04 gelisteten Arzneimittel sprechen. Auch mit Urteilsdatum wird auf der SL in der IT-Gruppe 10.04 mit Z.b._______ ein (von derselben Zulassungsinhaberin vertriebenes) Arzneimittel mit dem Wirkstoff E._______ geführt, das nicht namentlich als unzweckmässig beurteilt und im Gegenteil aufgrund der Berücksichtigung im TQV von der Vorinstanz als vergleichbar erachtet wurde. Des Weiteren lassen weder die SL-Liste per 1. Oktober 2018 noch die aktuelle SL-Liste prima facie erkennen, welche Elemente für die Zweckmässigkeit der darin geführten Arzneimittel sprechen: Per 1.10.2018 enthielt die Liste noch J.a._______, dessen Vergleichbarkeit wie oben erwähnt zu verneinen ist (E. 7.4). Die damalige und die heute geltende Liste enthalten in der IT-Gruppe 10.04 neben den Arzneimitteln mit E._______ (B._______ und Z.b._______) weitere Arzneimittel mit verschiedensten Wirkstoffen, ohne dass letzteren eine höherwertige Zweckmässigkeit aus der vorinstanzlichen Begründung entnommen werden kann. Im Gegenzug enthält die Liste der aktuell in der IT-Gruppe 10.10 geführten Arzneimittel auch solche mit E._______, deren (kleinere) Packungsgrösse kaum die eingetragene Limitierung bewirkt haben kann: Y.b._______ (neu), (Packung); U._______, (Packung); X.a._______, (Packung); V._______ (neu) (Packung); dies obwohl die Vorinstanz bezüglich einer Limitierung mit der Packungsgrösse und der Gefahr eines missbräuchlichen Mehrverbrauchs argumentiert hat. Aufgrund dieser Begründungsmängel kann auch die mit der Umteilung verbundene Limitierung nicht ohne weiteres nachvollzogen werden. Die SL-Liste vom 1.10.2018 enthält in der IT-Gruppe 10.04 zudem weitere Arzneimittel mit Limitierung, ohne dass vordergründig ein Zusammenhang mit der Packungsgrösse ersichtlich würde. 7.8.2 Anzumerken bleibt, dass vorliegend nur die B._______-Präparate mit (Packungsgrösse) streitgegenständlich waren. Deshalb muss die Argumentation, dass Grosspackungen aus den angeführten Gründen in der IT-Gruppe 10.04 als unzweckmässig zu erachten seien, vorliegend unberücksichtigt bleiben. 7.9 Somit kann der vorinstanzliche Entscheid, die B.b._______-Präparate in die IT-Gruppe 10.10 umzuteilen und mit einer Limitation zu belegen, aufgrund der heutigen Aktenlage nicht nachvollzogen werden. 8. Soweit darauf einzutreten ist, ist die Beschwerde daher insoweit gutzuheissen, als die angefochtene Verfügung teilweise aufzuheben und die Sache zur Durchführung einer erneuten WZW-Prüfung betreffend die B.b._______-Präparate (Packungsgrösse) im Sinne der Erwägungen und zu neuem Entscheid im Rahmen der dreijährlichen Preisüberprüfung an die Vorinstanz zurückzuweisen ist. Bei diesem Ausgang des Verfahrens ist auf die weiteren Argumentationen der Parteien zur Zweckmässigkeit nicht weiter einzugehen. 9. Zu befinden bleibt über die Verfahrenskosten und eine allfällige Parteientschädigung. 9.1 Da die angefochtene Verfügung aufzuheben und die Sache an die Vorinstanz durch Durchführung einer erneuten WZW-Prüfung im Rahmen der dreijährlichen Preisüberprüfung und zu neuem Entscheid zurückzuweisen ist, liegt - trotz teilweisen Nichteintretens auf die Rechtsbegehren (unbegründete Aufhebung der Verfügung betreffend B.a.a._______ [...], B.a.b._______ [...], B.a.c._______ [...], B.a.d._______ [...]) und trotz Abweisung des Begehrens um Feststellung einer Nichtigkeit - praxisgemäss ein Obsiegen der Beschwerdeführerin vor (vgl. BGE 137 V 57 E. 2.1 m.H.). Ihr sind deshalb keine Verfahrenskosten aufzuerlegen. Der geleistete Kostenvorschuss von Fr. 5'000.- ist ihr nach Eintritt der Rechtskraft des vorliegenden Urteils zurückzuerstatten. Der Vorinstanz werden keine Verfahrenskosten auferlegt (Art. 63 Abs. 2 VwVG). 9.2 Die teilweise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4'000.- (inkl. Auslagen und Mehrwertsteuer) zuzusprechen. Die Vorinstanz hat keinen Anspruch auf eine Parteientschädigung (Art. 7 Abs. 3 VGKE).</w:t>
      </w:r>
    </w:p>
    <w:p>
      <w:r>
        <w:rPr>
          <w:b/>
        </w:rPr>
        <w:t>E. 10</w:t>
      </w:r>
    </w:p>
    <w:p>
      <w:r>
        <w:t>Pkt. bis Fr. 6.45 20 Pkt. von Fr. 6.50 bis Fr. 12.95 30 Pkt. von Fr. 13.00 bis Fr. 19.35 40 Pkt. von Fr. 19.40 bis Fr. 25.85 50 Pkt. von Fr. 25.90 bis Fr. 38.75 60 Pkt. von Fr. 38.80 bis Fr. 51.55 80 Pkt. von Fr. 51.60 bis Fr. 77.45 100 Pkt. von Fr. 77.50 bis Fr. 103.25 120 Pkt. von Fr. 103.30 bis Fr. 129.05 140 Pkt. von Fr. 129.10 bis Fr. 154.90 160 Pkt. von Fr. 154.95 bis Fr. 193.60 180 Pkt. von Fr. 193.65 bis Fr. 232.30 200 Pkt. von Fr. 232.35 bis Fr. 271.05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