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C-65/2022 vom 19. November 2021</w:t>
      </w:r>
    </w:p>
    <w:p>
      <w:r>
        <w:t>Bundesverwaltungsgericht, 2021-11-19, DE</w:t>
      </w:r>
    </w:p>
    <w:p>
      <w:r>
        <w:rPr>
          <w:b/>
        </w:rPr>
        <w:t xml:space="preserve">Quelle: </w:t>
      </w:r>
      <w:r>
        <w:t>https://mcp.opencaselaw.ch/entscheid/bvger_C-65_2022_d20211119</w:t>
      </w:r>
    </w:p>
    <w:p>
      <w:r>
        <w:t>FR: TAF C-65/2022 du 19 novembre 2021</w:t>
      </w:r>
    </w:p>
    <w:p>
      <w:r>
        <w:t>IT: TAF C-65/2022 del 19 novembre 2021</w:t>
      </w:r>
    </w:p>
    <w:p>
      <w:pPr>
        <w:pStyle w:val="Heading2"/>
      </w:pPr>
      <w:r>
        <w:t>Regeste</w:t>
      </w:r>
    </w:p>
    <w:p>
      <w:r>
        <w:t>Invalidenversicherung (&amp;Uuml;briges) | Invalidenversicherung, Vorsorgliche Einstellung der Invalidenrente, Verfügung vom 19. November 2021</w:t>
      </w:r>
    </w:p>
    <w:p>
      <w:pPr>
        <w:pStyle w:val="Heading2"/>
      </w:pPr>
      <w:r>
        <w:t>Erwägungen</w:t>
      </w:r>
    </w:p>
    <w:p>
      <w:r>
        <w:rPr>
          <w:b/>
        </w:rPr>
        <w:t>E. 1</w:t>
      </w:r>
    </w:p>
    <w:p>
      <w:r>
        <w:t>Bst. a VwVG dar (Urteil des BVGer C-1989/2021 E. 1.3.2 f. mit Hinwei- sen). Die Beschwerde gegen die Zwischenverfügung vom 19. November 2021 ist daher zulässig.</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t>C-65/2022 Seite 4</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1a-26bis und 28- 70 IVG), soweit das IVG nicht ausdrücklich eine Abweichung vom ATSG vorsieht. Dabei finden nach den allgemeinen intertemporalrechtlichen Re- geln in formellrechtlicher Hinsicht mangels anderslautender Übergangsbe- stimmungen grundsätzlich diejenigen Rechtssätze Anwendung, welche im Zeitpunkt der Beschwerdebeurteilung Geltung haben (BGE 130 V 1 E. 3.2).</w:t>
      </w:r>
    </w:p>
    <w:p>
      <w:r>
        <w:rPr>
          <w:b/>
        </w:rPr>
        <w:t>E. 1.3</w:t>
      </w:r>
    </w:p>
    <w:p>
      <w:r>
        <w:t>Angefochten ist die Verfügung vom 19. November 2021, mit welcher die Vorinstanz die dem Beschwerdeführer bisher ausgerichtete ganze In- validenrente per 1. November 2021 im Hinblick auf eine Revision bzw. Wie- dererwägung des Rentenanspruchs vorläufig einstellte. Beim Anfechtungs- objekt handelt es sich um eine Zwischenverfügung (vgl. Urteil des Bundes- verwaltungsgerichts [BVGer] C-1989/2021 vom 17. März 2022 E. 1.3 mit Hinweisen; MOSER/BEUSCH/KNEUBÜHLER, Prozessieren vor dem Bundes- verwaltungsgericht, 2. Aufl. 2013, S. 44 Rz. 2.41). Gegen eine solche Zwi- schenverfügung ist die Beschwerde nur zulässig, wenn sie einen nicht wie- der gutzumachenden Nachteil bewirken kann (vgl. BGE 132 V 93 E. 6.1; Art. 46 Abs. 1 Bst. a VwVG), der – im Unterschied zum Anwendungsbe- reich von Art. 93 Abs. 1 Bst. a BGG – auch tatsächlicher Natur sein kann (vgl. Urteil des Bundesgerichts [BGer] 9C_45/2010 vom 1. April 2010 E. 1.1). Die vorsorgliche Einstellung der Zahlung einer Invalidenrente, die als Ersatzeinkommen den Lebensbedarf zumindest teilweise decken soll, stellt einen nicht wieder gutzumachenden Nachteil im Sinn von Art. 46 Abs.</w:t>
      </w:r>
    </w:p>
    <w:p>
      <w:r>
        <w:rPr>
          <w:b/>
        </w:rPr>
        <w:t>E. 1.4</w:t>
      </w:r>
    </w:p>
    <w:p>
      <w:r>
        <w:t>Der Anfechtungs- und Streitgegenstand beschränkt sich auf die Frage, ob die Vorinstanz zu Recht die Auszahlung der Invalidenrente des Be- schwerdeführers vorläufig eingestellt hat. In diesem Verfahren nicht zu prü- fen sind materiell-rechtliche Fragen betreffend die Invalidität und den Ren- tenanspruch des Beschwerdeführers. Soweit er beantragt, die ganze Rente sei weiterhin auszurichten, weil sich sein Gesundheitszustand nicht verändert habe, betrifft dies eine ausserhalb des Anfechtungsgegenstands</w:t>
      </w:r>
    </w:p>
    <w:p>
      <w:r>
        <w:t>C-65/2022 Seite 5 liegende Frage, weshalb darauf nicht einzutreten ist (vgl. BGE 125 V 413 E. 1a; 131 V 164 E. 2.1; 132 V 74 E. 1.1).</w:t>
      </w:r>
    </w:p>
    <w:p>
      <w:r>
        <w:rPr>
          <w:b/>
        </w:rPr>
        <w:t>E. 1.5</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w:t>
      </w:r>
    </w:p>
    <w:p>
      <w:r>
        <w:rPr>
          <w:b/>
        </w:rPr>
        <w:t>E. 1.6</w:t>
      </w:r>
    </w:p>
    <w:p>
      <w:r>
        <w:t>Da die Beschwerde im Übrigen frist- und formgerecht (Art. 60 Abs. 1 ATSG und Art. 52 Abs. 1 VwVG) eingereicht wurde, ist auf die Beschwerde grundsätzlich (vgl. bezüglich Ausnahme E. 1.4 hiervor) einzutreten.</w:t>
      </w:r>
    </w:p>
    <w:p>
      <w:r>
        <w:rPr>
          <w:b/>
        </w:rPr>
        <w:t>E. 2.1</w:t>
      </w:r>
    </w:p>
    <w:p>
      <w:r>
        <w:t>Der Beschwerdeführer ist italienischer Staatsangehöriger, so dass vor- liegend das Abkommen vom 21. Juni 1999 zwischen der Schweizerischen Eidgenossenschaft einerseits und der Europäischen Gemeinschaft und ih- ren Mitgliedstaaten andererseits über die Freizügigkeit (FZA, SR 0.142.112.681), insbesondere dessen Anhang II betreffend Koordinie- rung der Systeme der sozialen Sicherheit, anzuwenden ist (Art. 80a IVG).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 ren gemeinschaftsrechtlichen Rechtsakte keine abweichenden Bestim- 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ist vorliegend das innerstaatliche</w:t>
      </w:r>
    </w:p>
    <w:p>
      <w:r>
        <w:t>C-65/2022 Seite 6 schweizerische Recht, insbesondere das IVG, die IVV (SR 831.201), das ATSG sowie die ATSV (SR 830.11), anzuwenden.</w:t>
      </w:r>
    </w:p>
    <w:p>
      <w:r>
        <w:rPr>
          <w:b/>
        </w:rPr>
        <w:t>E. 3</w:t>
      </w:r>
    </w:p>
    <w:p>
      <w:r>
        <w:t>Vorab ist zu prüfen, ob die IVSTA angesichts des schweizerischen Wohn- sitzes des Beschwerdeführers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Bst. a IVV). Verlegt eine versicherte Person, die ihren Wohnsitz in der Schweiz hat, während des Verfahrens ihren Wohnsitz ins Ausland, so geht die Zuständigkeit auf die IV-Stelle für Versicherte im Ausland über (Art. 40 Abs. 2quater IVV). Die einmal begründete Zuständigkeit der IV-Stelle bleibt unter Vorbehalt der Absätze 2bis-2quater im Verlaufe des Verfahrens erhalten (Art. 40 Abs. 3 IVV).</w:t>
      </w:r>
    </w:p>
    <w:p>
      <w:r>
        <w:rPr>
          <w:b/>
        </w:rPr>
        <w:t>E. 3.2</w:t>
      </w:r>
    </w:p>
    <w:p>
      <w:r>
        <w:t>Die Akten der IV-Stelle D._______ wurden mit Schreiben vom 11. Juni 2021 (IV-act. 526) zuständigkeitshalber an die IVSTA weitergeleitet, da der Beschwerdeführer seinen Wohnsitz nach Italien verlegt hatte. Die IVSTA war folglich aufgrund des Wohnsitzes in Italien zuständig, den Vorbescheid vom 17. September 2021 zu erlassen. Es ist ferner ebenso wenig zu be- anstanden, dass die IVSTA am 19. November 2021 auch noch die entspre- chende Verfügung erlassen hat. Die nach Verfügungserlass erneute Wohn- sitznahme in der Schweiz per 3. Januar 2022 (vgl. IV-act. 567 S. 3) ist in diesem Zusammenhang unbeachtlich.</w:t>
      </w:r>
    </w:p>
    <w:p>
      <w:r>
        <w:rPr>
          <w:b/>
        </w:rPr>
        <w:t>E. 4.1</w:t>
      </w:r>
    </w:p>
    <w:p>
      <w:r>
        <w:t>Gemäss Art. 17 Abs. 1 ATSG wird, wenn sich der Invaliditätsgrad einer Rentenbezügerin oder eines Rentenbezügers erheblich ändert, die Rente von Amtes wegen oder auf Gesuch hin für die Zukunft entsprechend er- höht, herabgesetzt oder aufgehoben. Anlass zur Revision von Invaliden- 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 zustandes erheblich verändert haben oder eine andere Art der Bemessung der Invalidität zur Anwendung gelangt (BGE 130 V 343 E. 3.5).</w:t>
      </w:r>
    </w:p>
    <w:p>
      <w:r>
        <w:t>C-65/2022 Seite 7</w:t>
      </w:r>
    </w:p>
    <w:p>
      <w:r>
        <w:rPr>
          <w:b/>
        </w:rPr>
        <w:t>E. 4.2</w:t>
      </w:r>
    </w:p>
    <w:p>
      <w:r>
        <w:t>Nicht nur für die Zukunft, sondern rückwirkend (ab Eintritt der für den Anspruch erheblichen Änderung) erfolgt die Herabsetzung oder Aufhebung der Rente, wenn der Bezüger die Leistung zu Unrecht erwirkt hat oder der ihm nach Art. 77 IVV zumutbaren Meldepflicht nicht nachgekommen ist (Art. 88bis Abs. 2 Bst. b IVV; vgl. dazu auch BGE 136 V 45 E. 6.2 und Art. 7b Abs. 2 IVG). Die Pflicht zur Meldung veränderter Verhältnisse ist sowohl in Art. 31 Abs. 1 ATSG als auch in Art. 77 IVV verankert. Demnach sind Ren- tenberechtigte verpflichtet, jede für den Leistungsanspruch wesentliche Änderung, namentlich eine solche des Gesundheitszustandes oder der Ar- beits- und/oder Erwerbsfähigkeit, unverzüglich der IV-Stelle zu melden. Für den Tatbestand der Meldepflichtverletzung ist ein schuldhaftes Fehlverhal- ten erforderlich, wobei nach ständiger Rechtsprechung bereits eine leichte Fahrlässigkeit genügt (Urteil des BGer 9C_338/2015 vom 12. November 2015 E. 2 m.H.). Zeigt ein Rentenbezüger in Verletzung seiner Meldepflicht der IV-Stelle nicht an, dass er nunmehr ein rentenausschliessendes Er- werbseinkommen erzielt, können unrechtmässig bezogene Leistungen ge- mäss Art. 25 Abs. 1 ATSG zurückgefordert werden (vgl. Urteil des BGer 8C_127/2013 vom 22. April 2013 E. 4.1 ff.). Die Rückforderung von Ren- tenleistungen gestützt auf Art. 25 Abs. 1 ATSG stellt nicht nur einen admi- nistrativen Aufwand für die Verwaltung dar. Da es sich bei Renten um Er- satzeinkommen handelt, besteht eine erhebliche Gefahr, dass solche For- derungen sich als uneinbringlich erweisen. Die Rechtsprechung misst dem Interesse, solche Rückerstattungsforderungen zu vermeiden, denn auch regelmässig ein erhebliches Gewicht bei (BGE 105 V 266 E. 3, Urteil des BGer 8C_276/2007 vom 20. November 2007 E. 4.1 i.V.m. E. 3.1; Urteile des BVGer C-5802/2014 vom 7. September 2016 E. 2.3, C-4163/2013 vom 2. Juni 2014 E. 3.5 und A-4634/2012 vom 4. September 2014 E. 5.3.1). Die Ansprüche des Rentenbezügers bleiben hingegen gewahrt. Ergibt sich im Revisionsverfahren, dass der Rentenanspruch weiterhin besteht, erfolgt für die ganze Dauer der vorsorglichen Einstellung eine Rentennachzahlung samt Zins (Urteil des BGer 9C_482/2015 vom 22. September 2015 E. 2.2 m.H.). Nach der Praxis ist das Interesse der Verwaltung, administrative Er- schwernisse und die Gefahr der Nichteinbringlichkeit von Rückforderungen zu vermeiden, in der Regel höher zu gewichten als das Interesse der ver- sicherten Person an der Weiterausrichtung der Rente, wenn nicht mit hoher Wahrscheinlichkeit anzunehmen ist, dass diese im Beschwerdeverfahren obsiegen wird. Selbst eine allfällige Notwendigkeit des Bezugs von Sozial- hilfe begründet nicht ohne Weiteres ein überwiegendes Interesse der ver- sicherten Person (Urteile des BVGer C-5802/2014 vom 7. September 2016 E. 2.3 und A-4634/2012 E. 5.4.2 m.H.).</w:t>
      </w:r>
    </w:p>
    <w:p>
      <w:r>
        <w:t>C-65/2022 Seite 8</w:t>
      </w:r>
    </w:p>
    <w:p>
      <w:r>
        <w:rPr>
          <w:b/>
        </w:rPr>
        <w:t>E. 4.3</w:t>
      </w:r>
    </w:p>
    <w:p>
      <w:r>
        <w:t>Der Versicherungsträger kann die Ausrichtung von Leistungen vorsorg- lich einstellen, wenn die versicherte Person die Meldepflicht nach Artikel 31 Absatz 1 verletzt hat, einer Lebens- oder Zivilstandskontrolle nicht frist- gerecht nachgekommen ist oder der begründete Verdacht besteht, dass sie die Leistungen unrechtmässig erwirkt (Art. 52a ATSG).</w:t>
      </w:r>
    </w:p>
    <w:p>
      <w:r>
        <w:rPr>
          <w:b/>
        </w:rPr>
        <w:t>E. 4.4</w:t>
      </w:r>
    </w:p>
    <w:p>
      <w:r>
        <w:t>Der Entscheid über die Anordnung vorsorglicher Massnahmen setzt Dringlichkeit voraus, das heisst es muss sich als notwendig erweisen, die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 ches Interesse genügt (BGE 130 II 149 E. 2.2; HANSJÖRG SEILER, in: Pra- xiskommentar VwVG, 2. Aufl. 2016, N 27 zu Art. 56).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 können auch die Aussichten auf den Ausgang des Verfahrens in der Haupt- sache ins Gewicht fallen; sie müssen allerdings eindeutig sein (Urteil des BGer 8C_276/2007 vom 20. November 2007 E. 3.3; vgl. SEILER, a.a.O., N 26 zu Art. 56 i.V.m. N 92 ff. zu Art. 55).</w:t>
      </w:r>
    </w:p>
    <w:p>
      <w:r>
        <w:rPr>
          <w:b/>
        </w:rPr>
        <w:t>E. 4.5</w:t>
      </w:r>
    </w:p>
    <w:p>
      <w:r>
        <w:t>Bei der angefochtenen Zwischenverfügung vom 19. November 2021, mit welcher die Vorinstanz die bis anhin ausgerichtete ganze Invaliden- rente per 1. November 2021 einstellte bzw. sistierte, handelt es sich um eine vorsorgliche Massnahme (Urteil des BGer 8C_916/2009 vom 4. De- zember 2009 E. 1.1). Vorsorgliche Massnahmen regeln in Form einer Ver- fügung vorübergehend eine Rechtsfrage. Ihr Zweck ist, die Wirksamkeit einer erst später zu treffenden definitiven Anordnung sicherzustellen, ohne jedoch den Endentscheid zu präjudizieren (vgl. BGE 130 II 149 E. 2.2). Dies kann durch Sicherungsmassnahmen (Erhaltung des bestehenden Zu- standes) sowie Gestaltungs- oder Regelungsmassnahmen (Sicherstellung bedrohter Interessen) erfolgen. Mit gestaltenden Massnahmen wird ein Rechtsverhältnis provisorisch geschaffen oder einstweilig neu geregelt.</w:t>
      </w:r>
    </w:p>
    <w:p>
      <w:r>
        <w:t>C-65/2022 Seite 9 Dazu gehört die vorläufige Behebung eines (möglicherweise) rechtswidri- gen bestehenden Zustands (SEILER, a.a.O., N 32 zu Art. 56). Vorsorgliche Massnahmen sind in der Regel akzessorisch zu einem Hauptverfahren, haben nur vorläufige Geltung und fallen mit Erlass der Endverfügung dahin (vgl. FRANZ SCHLAURI, Die vorsorgliche Einstellung von Dauerleistungen der Sozialversicherung, in: Die Revision von Dauerleistungen in der Sozi- alversicherung, St. Gallen 1999, S. 218; vgl. auch BGE 129 V 370 E. 4.3).</w:t>
      </w:r>
    </w:p>
    <w:p>
      <w:r>
        <w:rPr>
          <w:b/>
        </w:rPr>
        <w:t>E. 5</w:t>
      </w:r>
    </w:p>
    <w:p>
      <w:r>
        <w:t>Nachfolgend bleibt zu prüfen, ob sich die Vorinstanz bei ihrer Anordnung auf hinreichende Anhaltspunkte gestützt hat, wonach der Beschwerdefüh- rer – in Verletzung seiner Meldepflicht – einer regelmässigen Erwerbstätig- keit nachgehe und hierbei ein beträchtliches Einkommen erziele. Dabei ge- nügen blosse Verdachtsmomente, die auf vagen Anhaltspunkten beruhen, nicht (vgl. Urteil des BGer 9C_45/2010 vom 12. April 2010 E. 2.1 sowie Urteile des BVGer C-4632/2016 vom 1. Dezember 2016 E. 4 und C- 4163/2013 vom 2. Juni 2013 E. 4). Ob allerdings der Beschwerdeführer erwiesenermassen sowie in Verletzung seiner Meldepflicht einer Erwerbs- tätigkeit nachgeht und ob das hierbei generierte Einkommen die massge- blichen Vergleichseinkommen in der Weise verändert, dass der Einkom- mensvergleich zu einem rentenausschliessenden Invaliditätsgrad führt, ist nicht Gegenstand der vorliegenden Prüfung, sondern wird im Revisions- verfahren der Verwaltung (Hauptverfahren) zu beurteilen sein.</w:t>
      </w:r>
    </w:p>
    <w:p>
      <w:r>
        <w:rPr>
          <w:b/>
        </w:rPr>
        <w:t>E. 5.1</w:t>
      </w:r>
    </w:p>
    <w:p>
      <w:r>
        <w:t>Die Vorinstanz begründete die vorläufige Einstellung der Invalidenrente per 1. November 2021 in der angefochtenen Zwischenverfügung damit, dass der Beschwerdeführer trotz seiner Meldepflicht die IVSTA nie über seine wahren Arbeitsverhältnisse informiert habe und mutmasslich bereits seit 2010 (und nicht erst seit 2016, wie gemeldet) einer Erwerbstätigkeit nachgehe. Ausserdem bestünden Hinweise darauf, dass sich nicht nur die wirtschaftliche Situation, sondern auch der gesundheitliche Zustand ver- bessert habe, sodass die Weitergewährung der Invalidenrente auch aus medizinischer Sicht in Frage gestellt werden müsse. Es bestehe damit umso mehr der Verdacht eines unrechtmässigen Leistungsbezugs, der es rechtfertige, die Zahlung der IV-Rente während der weiteren Abklärungen zu sistieren. Die sofortige Sistierung der laufenden Leistungen sowie der Entzug der aufschiebenden Wirkung einer gegen diese Verfügung gerich- teten Beschwerde liessen sich mit dem Risiko der Uneinbringlichkeit der eventuell zu Unrecht bezogenen Leistungen ohne Weiteres rechtfertigen. Ihr Interesse an der Vermeidung von Umtrieben und Verlustrisiken im Zu-</w:t>
      </w:r>
    </w:p>
    <w:p>
      <w:r>
        <w:t>C-65/2022 Seite 10 sammenhang mit Rückforderungen stehe im Vordergrund. Nach der bun- desgerichtlichen Rechtsprechung sei dieses Interesse gegenüber demje- nigen des Beschwerdeführers, nicht in eine vorübergehende finanzielle Notlage zu geraten, als vorrangig zu betrachten.</w:t>
      </w:r>
    </w:p>
    <w:p>
      <w:r>
        <w:rPr>
          <w:b/>
        </w:rPr>
        <w:t>E. 5.2</w:t>
      </w:r>
    </w:p>
    <w:p>
      <w:r>
        <w:t>Der Beschwerdeführer machte geltend, er sei nicht der Ansicht, dass sich sein Gesundheitszustand verbessert habe. Ferner bestünden – ent- gegen der Ansicht der Vorinstanz – keine Anhaltspunkte für das Vorhan- densein einer rechtswidrigen Ausschöpfung der (behaupteten) hinzuge- wonnenen Arbeitsfähigkeit oder für ausserhäusliche Aktivitäten, die mit dem geltend gemachten Leiden schlichtweg unvereinbar seien. Weder die Befragung der involvierten Personen noch die durchgeführten Observie- rungen respektive die Kontrollen vor Ort hätten zu einem anderen Schluss geführt. Mit der Einreichung seines Arbeitsvertrages im Jahr 2017 sei er seiner gesetzlichen Melde- und Mitwirkungspflicht nachgekommen. Aus- serdem sei das von der Vorinstanz geltend gemachte wirtschaftliche Risiko in Bezug auf die Uneinbringlichkeit völlig unbegründet, da es aktenkundig sei, dass der Beschwerdeführer Eigentümer von Liegenschaften sei; des- halb sei ein allfälliges Inkasso-Risiko erheblich vermindert.</w:t>
      </w:r>
    </w:p>
    <w:p>
      <w:r>
        <w:rPr>
          <w:b/>
        </w:rPr>
        <w:t>E. 5.3</w:t>
      </w:r>
    </w:p>
    <w:p>
      <w:r>
        <w:t>Folgende Hinweise, welche etwas zur Arbeitssituation des Beschwer- deführers und einer möglichen Meldepflichtverletzung aussagen, sind den Akten zu entnehmen: – Aus einer Aktennotiz der Einwohnerdienste, Migration und Fremdenpo- lizei der Stadt (…) vom 30. November 2016 (IVSTA-act. 242) geht her- vor, dass bei einer Geschäftskontrolle des Hundesalons E._______ Herr F._______ angetroffen wurde, der aussagte, dass Frau G._______ nicht anwesend und mit seinem Chef, Herr A._______, in (…) am Arbeiten sei. – Auf der Homepage der H._______ AG mit Sitz in (…) war der Be- schwerdeführer am 21. Oktober 2012 als Team Trainer, am 30. Juli 2013 als Trainer Aussendienst respektive am 27. Februar 2018 und am 24. April 2017 als Mitarbeiter Ernährungsteam/Aussendienst aufge- führt und hatte eine eigene E-Mail-Adresse über dieses Unternehmen (vgl. IVSTA-act. 178 und 112 S. 3). Dies ergaben die Internetrecher- chen der IV-Stelle D._______ auf der Website www.(…).org. Die H._______ AG bestritt in ihrem Schreiben vom 11. Januar 2022 (IV- STA-act. 558; vgl. auch die undatierte Bestätigung z.H. IV-Stelle D._______ [IVSTA-act. 126 S. 2]) jedoch, dass der Beschwerdeführer</w:t>
      </w:r>
    </w:p>
    <w:p>
      <w:r>
        <w:t>C-65/2022 Seite 11 je bei ihr angestellt gewesen sein soll. Die entsprechenden Internet- Belege stammten aus einer früheren Anstellungsabklärung, wobei eine Anstellung schliesslich aus gesundheitlichen Gründen nicht zustande gekommen sei. – Die Statuten der B._______ AG respektive der C._______ AG wurden vom Beschwerdeführer unterzeichnet (vgl. IVSTA-act. 245). – Internetrecherchen der IV-Stelle D._______ ergaben, dass der Be- schwerdeführer als Geschäftsführer eines Hundepflegesalons aufge- führt ist. Es handelte sich dabei um den Hundepflegesalon E._______, der an der Adresse des Beschwerdeführers seinen Sitz hat.</w:t>
      </w:r>
    </w:p>
    <w:p>
      <w:r>
        <w:rPr>
          <w:b/>
        </w:rPr>
        <w:t>E. 5.4</w:t>
      </w:r>
    </w:p>
    <w:p>
      <w:r>
        <w:t>Insgesamt ist festzuhalten, dass einige Hinweise dafür vorliegen, dass sich der Beschwerdeführer – entgegen seiner Äusserungen – in erhebli- chem Umfang beruflich betätigt hat. Bemerkenswert ist in dieser Hinsicht insbesondere der Umstand, dass er bereits einige Jahre bevor er der IV- Stelle eine Arbeitstätigkeit gemeldet hat, offenbar schon einer Tätigkeit nachgegangen ist. Dass dies lediglich im Rahmen einer Anstellungsabklä- rung der Fall gewesen sein soll, erscheint dabei unglaubwürdig, da er in diesem Fall wohl nicht bereits auf der Homepage des Unternehmens wäh- rend längerer Zeit als Mitarbeiter aufgeführt gewesen wäre. Weiter ist dies- bezüglich darauf hinzuweisen, dass der Beschwerdeführer offenbar we- nige Tage nachdem sich die IV-Stelle nach einer Tätigkeit erkundigt hatte, nicht mehr auf dieser Homepage vermerkt war, sodass der Anschein er- weckt wurde, man habe durch die Löschung etwas vertuschen wollen. Auch deutet die Unterzeichnung der Statuten durch den Beschwerdeführer darauf hin, dass dieser wohl eher in einer leitenden Funktion als in einer niedrigprozentigen Aushilfstätigkeit in diesen Unternehmungen tätig war. Insgesamt liegen damit nach der vom Bundesverwaltungsgericht vorge- nommenen Prüfung genügende Anhaltspunkte für den von der Vorinstanz vermuteten unrechtmässigen Leistungsbezug des Beschwerdeführers vor.</w:t>
      </w:r>
    </w:p>
    <w:p>
      <w:r>
        <w:rPr>
          <w:b/>
        </w:rPr>
        <w:t>E. 5.5</w:t>
      </w:r>
    </w:p>
    <w:p>
      <w:r>
        <w:t>Aus den Akten gehen ferner keine besonderen Umstände hervor, auf- grund derer darauf geschlossen werden müsste, dass vorliegend das Inte- resse des Beschwerdeführers an einer weiteren Leistung der Rente das öffentliche Interesse an der Sicherstellung einer allfälligen Rentenrücker- stattungsforderung überwöge. Der anwaltlich vertretene Beschwerdeführer macht denn auch keine konkrete finanzielle Notlage oder ähnliche Argu-</w:t>
      </w:r>
    </w:p>
    <w:p>
      <w:r>
        <w:t>C-65/2022 Seite 12 mente geltend. Alleine der Hinweis des Beschwerdeführers, dass er auf- grund der Liegenschaften, die in seinem Eigentum stehen, keine Schwie- rigkeiten haben dürfte, eine allfällige Rückforderung zu leisten, vermag die Interessenabwägung nicht zu seinen Gunsten zu beeinflussen, zumal eine Rückerstattungsforderung für die Verwaltung einen erheblichen Aufwand mit sich bringt und immer eine gewisse Gefahr der Uneinbringlichkeit in sich birgt. Damit ist ein überwiegendes Interesse der Verwaltung an der Sicherung einer allfälligen Rückerstattungsforderung erstellt, zumal der Beschwerdeführer keine drohende finanzielle Notlage geltend macht. Ins- gesamt sind damit vorliegend die genannten formellen Voraussetzungen, namentlich der Dringlichkeit sowie eines – für die Verwaltung – nicht leicht wieder gutzumachenden Nachteils (in der Form von wirtschaftlichen Inte- ressen), für eine vorsorgliche Rentenaufhebung gegeben. Der Entscheid betreffend die vorsorgliche Einstellung der Rentenleistun- gen ist daher zu schützen. Die Beschwerde erweist sich als unbegründet und ist somit abzuweisen, soweit darauf einzutreten ist.</w:t>
      </w:r>
    </w:p>
    <w:p>
      <w:r>
        <w:rPr>
          <w:b/>
        </w:rPr>
        <w:t>E. 5.6</w:t>
      </w:r>
    </w:p>
    <w:p>
      <w:r>
        <w:t>Abschliessend ist darauf hinzuweisen, dass sich die Einstellung der Rente nur dann rechtfertigt, wenn das Hauptverfahren speditiv weiterge- führt und innert nützlicher Frist abgeschlossen wird (vgl. Urteil des BGer 9C_45/2010 vom 12. April 2010 E. 2.2). In diesem Sinne hat die Vorinstanz das Revisionsverfahren unverzüglich weiterzuführen und innert nützlicher Frist zu entscheiden.</w:t>
      </w:r>
    </w:p>
    <w:p>
      <w:r>
        <w:rPr>
          <w:b/>
        </w:rPr>
        <w:t>E. 6</w:t>
      </w:r>
    </w:p>
    <w:p>
      <w:r>
        <w:t>Es bleibt über die Verfahrenskosten und eine allfällige Parteientschädigung zu befinden.</w:t>
      </w:r>
    </w:p>
    <w:p>
      <w:r>
        <w:rPr>
          <w:b/>
        </w:rPr>
        <w:t>E. 6.1</w:t>
      </w:r>
    </w:p>
    <w:p>
      <w:r>
        <w:t>Die Verfahrenskosten sind bei Streitigkeiten um die Bewilligung oder die Verweigerung von IV-Leistungen nach dem Verfahrensaufwand und un- abhängig vom Streitwert im Rahmen von 200-1'000 Franken festzulegen (Art. 69 Abs. 1bis IVG). Für das vorliegende Verfahren sind die Verfahrens- kosten auf Fr. 800.- festzusetzen und dem Beschwerdeführer als unterle- 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t>C-65/2022 Seite 13</w:t>
      </w:r>
    </w:p>
    <w:p>
      <w:r>
        <w:rPr>
          <w:b/>
        </w:rPr>
        <w:t>E. 6.2</w:t>
      </w:r>
    </w:p>
    <w:p>
      <w:r>
        <w:t>Der obsiegenden Partei kann von Amtes wegen oder auf Begehren eine Entschädigung für ihr erwachsene notwendige und verhältnismässig hohe Kosten zugesprochen werden (Art. 64 Abs. 1 VwVG). Als Bundesbe- hörde hat die IVSTA jedoch keinen Anspruch auf Parteientschädigung (Art. 7 Abs. 3 des Reglements vom 21. Februar 2008 über die Kosten und Entschädigungen vor dem Bundesverwaltungsgericht [VGKE, SR 173.320.2]). Der unterliegende Beschwerdeführer hat keinen Anspruch auf Parteient- schädigung (Art. 64 Abs. 1 VwVG e contrario).</w:t>
      </w:r>
    </w:p>
    <w:p>
      <w:r>
        <w:t>C-65/2022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