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C-6596/2008 vom 15. Juli 2010</w:t>
      </w:r>
    </w:p>
    <w:p>
      <w:r>
        <w:t>Bundesverwaltungsgericht, 2010-07-15, DE</w:t>
      </w:r>
    </w:p>
    <w:p>
      <w:r>
        <w:rPr>
          <w:b/>
        </w:rPr>
        <w:t xml:space="preserve">Quelle: </w:t>
      </w:r>
      <w:r>
        <w:t>https://mcp.opencaselaw.ch/entscheid/bvger_C-6596_2008</w:t>
      </w:r>
    </w:p>
    <w:p>
      <w:r>
        <w:t>FR: TAF C-6596/2008 du 15 juillet 2010</w:t>
      </w:r>
    </w:p>
    <w:p>
      <w:r>
        <w:t>IT: TAF C-6596/2008 del 15 luglio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die zu den Vorinstanzen des Bundesverwaltungsgerichts gehört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38 ff. und Art. 60 ATSG). Als Adressat der angefochtenen Verfügung ist der Beschwerdeführer berührt und hat ein schutzwürdiges Interesse an deren Aufhebung oder Änderung (vgl. Art. 59 ATSG). Zusammenfassend ergibt sich, dass sämtliche Prozessvoraus-setzungen erfüllt sind, weshalb auf die Beschwerde einzutreten ist.</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Anfechtungsobjekt bildet die Verfügung der Vorinstanz vom 16. September 2008, mit welcher der Rentenanspruch des Beschwerdeführers bei einem IV-Grad von 21 % abgewiesen wurden. Streitig und zu prüfen ist, ob die Abweisung zu Recht erfolgt war resp. ob der Beschwerdeführer Anspruch auf eine Rente der IV hat.</w:t>
      </w:r>
    </w:p>
    <w:p>
      <w:r>
        <w:rPr>
          <w:b/>
        </w:rPr>
        <w:t>E. 2.1</w:t>
      </w:r>
    </w:p>
    <w:p>
      <w:r>
        <w:t>Der Beschwerdeführer liess in seiner Replik vom 4. Mai 2009 ausführen, die angefochtene Verfügung vom 16. September 2008 weise auch formelle Mängel auf, da ihm die Unterlagen (unter anderem act. 90), auf welche sich die Verfügung stütze, nicht zur Einsicht und Stellungnahme zugestellt worden seien. Insbesondere sei die Vorinstanz damit ihrer Begründungspflicht in keiner Weise genügend nachgekommen. Die Vorinstanz hätte in ihrer Verfügung auf die Einkommenszahlen und die Berücksichtigung eines Leidensabzugs hinweisen müssen. Dies habe sie aber offensichtlich nicht getan, weshalb die Verfügung bereits aus diesem formellen Mangel aufzuheben sei (B-act. 9).</w:t>
      </w:r>
    </w:p>
    <w:p>
      <w:r>
        <w:rPr>
          <w:b/>
        </w:rPr>
        <w:t>E. 2.2</w:t>
      </w:r>
    </w:p>
    <w:p>
      <w:r>
        <w:t>Betreffend dieser vom Beschwerdeführer im Verwaltungsverfahren geltend gemachten Verletzung der Begründungspflicht sowie des Akteneinsichtsrechts als Teilaspekte des Anspruchs auf rechtliches Gehör ist Folgendes festzustellen:</w:t>
      </w:r>
    </w:p>
    <w:p>
      <w:r>
        <w:rPr>
          <w:b/>
        </w:rPr>
        <w:t>E. 2.2.1</w:t>
      </w:r>
    </w:p>
    <w:p>
      <w:r>
        <w:t>Am 16. Oktober 2008 verlangte der Rechtsvertreter von der Vorinstanz eine Kopie des Einkommensvergleichs. Es wurde ihm mitgeteilt, dass eine schriftliche Anfrage benötigt werde, worauf der Rechtsvertreter eine entsprechende Fax-Mitteilung in Aussicht stellte (act. 97); diese ging gleichentags bei der Vorinstanz ein (act. 98). Am 17. Oktober 2008 übermittelte die Vorinstanz dem Rechtsvertreter die gewünschte Kopie des Einkommensvergleichs (act. 99 und 100). Dadurch hat die Vorinstanz dem Beschwerdeführer ohne Zweifel die Möglichkeit eingeräumt, das massgebliche Aktenstück einzusehen, auf welches sich die Behörde bei der angefochtenen Verfügung gestützt hat (vgl. hierzu etwa BGE 132 V 387 E. 3.1, 115 V 297 E. 2e; ZAK 1990 S. 99 E. 4a; RKUV 1992 U 152 S. 198 E. 2c). Somit liegt keine Verletzung des Akteneinsichtsrechts vor. Ergänzend ist darauf hinzuweisen, dass der Beschwerdeführer ergänzend zur Replik am 23. Juni 2009 hat ausführen lassen, dass ihm die mit der Berechnung des IV-Grades im Zusammenhang stehenden Akten nun vorgelegt worden seien (B-act. 13).</w:t>
      </w:r>
    </w:p>
    <w:p>
      <w:r>
        <w:rPr>
          <w:b/>
        </w:rPr>
        <w:t>E. 2.2.2</w:t>
      </w:r>
    </w:p>
    <w:p>
      <w:r>
        <w:t>Da die Vorinstanz in der angefochtenen Verfügung vom 16. September 2008 kurz die Rechtsnormen und die Überlegungen genannt hat, von denen sie sich hat leiten lassen (act. 96), sowie unter dem Aspekt, dass sie sich im Rahmen von Art. 49 Abs. 3 ATSG weder ausdrücklich mit jeder tatbeständlichen Behauptung noch jedem rechtlichen Einwand auseinandersetzen muss, sondern sich auf die für den Entscheid wesentlichen Gesichtspunkte beschränken kann (BGE 124 V 181 E. 1a; SVR 1996 UV Nr. 62 E. 4; RKUV 1994 K 928 S. 12 E. 2b), ist vorliegend auch nicht von einer Verletzung der Begrün-dungspflicht auszugehen.</w:t>
      </w:r>
    </w:p>
    <w:p>
      <w:r>
        <w:rPr>
          <w:b/>
        </w:rPr>
        <w:t>E. 3.1</w:t>
      </w:r>
    </w:p>
    <w:p>
      <w:r>
        <w:t>Der Beschwerdeführer ist Angehöriger eines Mitgliedstaates der Europäischen Freihandelsassoziation (EFTA), so dass vorliegend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anwendbar ist (Art. 80a Abs. 1 Bst. b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Gemäss Art. 21 Bst. a EFTA-Übereinkommen werden die Systeme der sozialen Sicherheit koordiniert, um insbesondere die Gleichbehandlung aller Mitglieder der Vertragsstaaten zu gewährleisten.</w:t>
      </w:r>
    </w:p>
    <w:p>
      <w:r>
        <w:rPr>
          <w:b/>
        </w:rPr>
        <w:t>E. 3.2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Erw. 3.1.1, 131 V 11 Erw.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 dass die zur altrechtlichen Regelung ergangene Rechtsprechung weiterhin massgebend ist (Entscheid des Bundesgerichts [nachfolgend BGer] vom 28. August 2008, 8C_373/2008, Erw. 2.1). Neu normiert wurde demgegenüber der Zeitpunkt des Rentenbeginns, der, sofern die entsprechenden Anspruchsvoraussetzungen gegeben sind (Art. 28 Abs. 1 IVG), gemäss Art. 29 Abs. 1 IVG frühestens sechs Monate nach Geltendmachung des Leistungsanspruchs nach Art. 29 Abs. 1 ATSG entsteht. Trat der Versicherungsfall vor dem 1. Januar 2008 ein und wurde die Anmeldung bis spätestens am 31. Dezember 2008 eingereicht, so gilt das alte Recht (vgl. auch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16. September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 des allfälligen Rentenbeginns gilt das alte Recht, da vorliegend der Versicherungsfall vor dem 1. Januar 2008 eingetreten ist (vgl. E. 4. hiernach) und sich der Beschwerdeführer bereits am 23. November 2006 (Eingangsdatum) zum Leistungsbezug angemeldet hat.</w:t>
      </w:r>
    </w:p>
    <w:p>
      <w:r>
        <w:rPr>
          <w:b/>
        </w:rPr>
        <w:t>E. 3.3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gegeben.</w:t>
      </w:r>
    </w:p>
    <w:p>
      <w:r>
        <w:rPr>
          <w:b/>
        </w:rPr>
        <w:t>E. 3.5</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Meldet sich eine versicherte Person mehr als zwölf Monate nach der Entstehung eines Leistungsanspruchs an, so werden IV-Leistungen gemäss Art. 48 Abs. 2 IVG (in der bis zum 31. Dezember 2007 gültig gewesenen Fassung) lediglich für die der Anmeldung vorangehenden zwölf Monate ausgerichtet - abgesehen von einer Ausnahme, die vorliegend ohne Belang ist. Vorliegend ist demnach zu prüfen, ob der Beschwerdeführer am 23. November 2005, d.h. zwölf Monate vor der Antragstellung (Eingangsdatum; vgl. Bst. A. hiervor), Anspruch auf Leistungen der IV hat oder ob ein solcher Anspruch danach bis zum Erlass der angefochtenen Verfügung (16. September 2008) entstanden ist.</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251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kann indessen nur abgestellt werden, wenn sie den allgemeinen beweisrechtlichen Anforderungen an einen ärztlichen Bericht genügen (Urteil des Eidgenössischen Versiche-rungsgerichts [EVG; seit 1. Januar 2007: BGer] I 694/05 vom 15. De-zember 2006 E. 2). Die RAD-Ärzte müssen sodann über die im Einzel-fall erforderlichen persönlichen und fachlichen Qualifikationen verfügen (Urteile des BGer 9C_736/2009 vom 26. Januar 2009 E. 2.1, I 142/07 vom 20. November 2007 E. 3.2.3 und I 362/06 vom 10. April 2007 E. 3.2.1).</w:t>
      </w:r>
    </w:p>
    <w:p>
      <w:r>
        <w:rPr>
          <w:b/>
        </w:rPr>
        <w:t>E. 4</w:t>
      </w:r>
    </w:p>
    <w:p>
      <w:r>
        <w:t>Die Vorinstanz stützte sich im Rahmen des Erlasses der angefochtenen Verfügung insbesondere auf das Gutachten der E._______ vom 4. Februar 2008 (act. 87). Es ist deshalb in einem ersten Schritt insbesondere dieses Gutachten zu würdigen und zu prüfen, ob sich aufgrund dieses Beweismittels der Sachverhalt in medizinischer Hinsicht als rechtsgenüglich abgeklärt und gewürdigt erweist.</w:t>
      </w:r>
    </w:p>
    <w:p>
      <w:r>
        <w:rPr>
          <w:b/>
        </w:rPr>
        <w:t>E. 4.1</w:t>
      </w:r>
    </w:p>
    <w:p>
      <w:r>
        <w:t>Im Gutachten der E._______ vom 4. Februar 2008 wurden mit Auswirkungen auf die Arbeitsfähigkeit ein chronisches zervikozephales und zervikobrachiales Syndrom rechtsseitig seit einem Status nach einem HWS-Distorsions-Beschleunigungstrauma am 26. Juni 2006, ein chronisches lumbospondylogenes Syndrom rechtsbetont, eine koronare und hypertensive Herzkrankheit sowie ein metabolisches Syndrom diagnostiziert. Ohne Auswirkung auf die Arbeitsfähigkeit wurden die Diagnosen einer Dysthymia (bestehend seit ein bis zwei Jahren) sowie einer Hochtoninnenohrschwerhörigkeit rechts und Schwankschwindel gestellt (S. 26 ff.). Weiter wurde zusammengefasst ausgeführt, aus rheumatologischer Sicht sei der Versicherte aufgrund der bekannten lumbospondylogenen Beschwerden und nun auch zervikozephalen und zervikobrachialen Beschwerden seit Oktober 2004 weiterhin zu 100 % arbeitsunfähig für die zuletzt ausgeübte Tätigkeit als "Maschinenbediener". Weiterhin zumutbar sei ihm ergonomisch-theoretisch eine leichte bis mittelschwere wechselbelastende Arbeit mit Hantieren von Lasten bis selten maximal 20 kg; eine solche Tätigkeit sei aus rheumatologisch/kardiologischer Sicht weiterhin ganztags zumutbar. Keine Einschränkung der Arbeitsfähigkeit bestehe aus psychiatrischer, neuropsychologischer und otoneurologischer Sicht (S. 32 f.).</w:t>
      </w:r>
    </w:p>
    <w:p>
      <w:r>
        <w:rPr>
          <w:b/>
        </w:rPr>
        <w:t>E. 4.2</w:t>
      </w:r>
    </w:p>
    <w:p>
      <w:r>
        <w:t>Vorab ist festzustellen, dass entgegen der Auffassung der Vorinstanz das Gutachten der E._______ vom 4. Februar 2008 nicht voll beweiskräftig ist (vgl. E. 3.6 hiervor), weshalb darauf nicht vorbehaltlos abgestellt werden kann. Dies aus folgenden Gründen:</w:t>
      </w:r>
    </w:p>
    <w:p>
      <w:r>
        <w:rPr>
          <w:b/>
        </w:rPr>
        <w:t>E. 4.2.1</w:t>
      </w:r>
    </w:p>
    <w:p>
      <w:r>
        <w:t>Die Liechtensteinische Invalidenversicherung stütze sich im Rahmen der ursprünglichen rentenzusprechenden Verfügung vom 13. April 2006 (act. 7) in medizinischer Hinsicht insbesondere auf das Gutachten der E._______ vom 26. Januar 2006 (act. 71). Darin wurden mit Auswirkung auf die Arbeitsfähigkeit ein lumbospondylogenes Syndrom beidseits, eine koronare und hypertensive Herzkrankheit sowie ein metabolisches Syndrom diagnostiziert (S. 16). Weiter wurde ausgeführt, beim Versicherten bestehe aufgrund der rheumatologischen Befunde seit Oktober 2004 eine 100%ige Arbeitsunfähigkeit für die zuletzt ausgeübte Tätigkeit als "Maschinenbediener" (S. 17). Betreffend Arbeitsfähigkeit in Verweisungstätigkeiten wurde weiter erwähnt, aus kardiologischer Sicht sei der Versicherte seit Juli 2005 in einer körperlich leichten und wechselbelastenden Tätigkeit uneingeschränkt arbeitsfähig. Es sei davon auszugehen, dass ab Sommer 2005 aus internistischer, rheumatologischer und kardiologischer Sicht eine körperlich leichte und wechselbelastende Arbeit zumindest in einem Teilarbeitspensum von 50 % möglich gewesen wäre (S. 19).</w:t>
      </w:r>
    </w:p>
    <w:p>
      <w:r>
        <w:rPr>
          <w:b/>
        </w:rPr>
        <w:t>E. 4.2.2</w:t>
      </w:r>
    </w:p>
    <w:p>
      <w:r>
        <w:t>Mit Blick auf die beiden im Jahre 2006 und 2008 erstellten Gutachten der E._______ fällt auf, dass sich hinsichtlich der im Jahre 2006 gestellten Diagnosen insofern eine Änderung ergeben hat, als dass im Gutachten vom Februar 2008 neu - mit Auswirkungen auf die Arbeitsfähigkeit - ein chronisches zervikozephales und zervikobrachiales Syndrom rechtsseitig seit dem Status nach einem HWS-Distorsions-Beschleunigungstrauma im Juni 2006 diagnostiziert worden ist. Auffallend ist weiter, dass das im Jahre 2006 diagnostizierte lumbospondylogene Syndrom beidseits mittlerweile eine Chronifizierung aufweist und der Beschwerdeführer neu auch an einer Dysthymia sowie an einer Hochtoninnenohrschwerhörigkeit rechts und Schwankschwindel leidet, wobei letztere beiden Diagnosen gemäss den Gutachtern keine Auswirkungen auf die Arbeitsfähigkeit zeitigen.</w:t>
      </w:r>
    </w:p>
    <w:p>
      <w:r>
        <w:rPr>
          <w:b/>
        </w:rPr>
        <w:t>E. 4.2.3</w:t>
      </w:r>
    </w:p>
    <w:p>
      <w:r>
        <w:t>Obwohl sich hinsichtlich der Diagnosestellung im zweiten Gutachten vom 4. Februar 2008 im Vergleich zum ersten vom 26. Januar 2006 - mit Auswirkungen auf die Arbeitsfähigkeit durch die erlittenen Unfallfolgen und die Chronifizierung des lumbospondylogenen Syndroms - eine deutliche Veränderung erheben hat, hielten die Gutachter im Februar 2008 dafür, dass dem Beschwerdeführer leichte bis mittelschwere wechselbelastende Tätigkeiten sowohl als rheumatologischer als auch aus kardiologischer Sicht weiterhin ganztags zumutbar seien. Diese Ausführungen sind mit Blick auf die Beurteilung der Restarbeitsfähigkeit im ersten Gutachten, wonach der Versicherte ab Sommer 2005 aus internistischer, rheumatologischer und kardiologischer Sicht eine körperlich leichte und wechselbelastende Arbeit zumindest in einem Teilarbeitspensum von 50 % ausüben könnte, widersprüchlich. Diesen Widerspruch entkräfteten die Gutachter auch nicht dadurch, indem sie schlüssig und überzeugend darlegten, inwiefern sich der Gesundheitszustand verbessert und sich die damit verbundene Restarbeitsfähigkeit erhöht haben sollte resp. ob der Beschwerdeführer aufgrund eines objektiv geminderten Schweregrades der bisherigen (und neuen) Leiden oder einer verbesserten Leidensanpassung sein tatsächliches Leistungsvermögen hat steigern können. Nichts anderes ergibt sich auch aus dem Bericht des RAD-Arztes Dr. med. F._______, Facharzt für Allgemeinmedizin, vom 20. Mai 2008, denn ohne sich mit den abweichenden Beurteilungen der E._______ schlüssig und überzeugend und damit rechtsgenüglich auseinanderzusetzen, postulierte er die Übernahme der Beurteilung aus Liechtenstein (act. 89). Mit Blick auf den in der Folge am 3. Juni 2008 durchgeführten Einkommensvergleich (act. 90) wird klar, dass dabei die Ausführungen im Rahmen des zweiten Gutachtens gemeint waren.</w:t>
      </w:r>
    </w:p>
    <w:p>
      <w:r>
        <w:rPr>
          <w:b/>
        </w:rPr>
        <w:t>E. 4.2.4</w:t>
      </w:r>
    </w:p>
    <w:p>
      <w:r>
        <w:t>Der Vorinstanz ist zwar darin beizupflichten, dass sie sich im Rahmen einer Neuanmeldung nicht mit rentenrevisionsrechtlichen Fragestellungen konfrontiert sah. Denn die ständige Praxis, wonach die unterschiedliche Beurteilung eines im Wesentlichen gleich gebliebenen Sachverhaltes unter revisionsrechtlichem Gesichtswinkel unerheblich ist (BGE 112 V 371 E. 2b mit Hinweisen; SVR 1996 IV Nr. 70 S. 104 E. 3a; vgl. im Zusammenhang mit einer neuen Verwaltungs- oder Gerichtspraxis auch BGE 115 V 308 E. 4a bb), gelangt im vorliegend zu beurteilenden Neuanmeldungsverfahren nicht zur Anwendung. Mit Blick auf die vom Beschwerdeführer geltend gemachte Verschlechterung und die von den Experten im zweiten Gutachten ergänzten Diagnosen hätte sie jedoch der grossen Divergenz in der Beurteilung der Restarbeitsfähigkeit in den beiden Gutachten weiter nachgehen müssen, dies ungeachtet dessen, dass eine Diagnose für sich allein noch keinen Schluss auf die gesundheitlich bedingte Einschränkung in der Arbeitsfähigkeit zulässt (vgl. BGE 132 V 65 E. 3.4). Denn Hinweise darauf, dass sich die Restarbeitsfähigkeit nicht in einem solchen Ausmass, wie im zweiten Gutachten erwähnt, verbessert hat, ergeben sich auch aufgrund weiterer aktenkundiger medizinischer Dokumente. So erwähnte Dr. med. G._______, Spezialarzt für Orthopädische Chirurgie, in seinem Bericht vom 12. Juni 2007 zufolge des Unfallereignisses ebenfalls eine Verschlechterung und hielt dafür, dass in einer leidensadaptierten Tätigkeit eine teilzeitliche Tätigkeit ohne Leistungseinbusse angestrebt werde (act. 82). Auch Dr. med. H._______, Spezialarzt für Chirurgie, hielt in seinem Bericht vom 4. April 2007 eine Verschlechterung der Situation von Seiten der Lenden- und der Halswirbelsäule, des Diabetes Mellitus, der Coxarthrosen beidseits sowie der arteriellen Hypertonie mit Kopfwehattacken fest (act. 80). Obwohl aufgrund dieser Berichte die Fragen nach der Stabilität des Gesundheitszustandes und der objektiven Befunde nicht rechtsgenüglich hatten beantwortet werden können und deshalb vom ausländischen Versicherungsträger die Verlaufsbegutachtung in E._______ in die Wege geleitet worden war (act. 23), können diese ärztlichen Dokumente mit Blick auf die veränderte Situation nicht völlig ausser Acht gelassen werden.</w:t>
      </w:r>
    </w:p>
    <w:p>
      <w:r>
        <w:rPr>
          <w:b/>
        </w:rPr>
        <w:t>E. 4.2.5</w:t>
      </w:r>
    </w:p>
    <w:p>
      <w:r>
        <w:t>Weiter ist darauf hinzuweisen, dass auch das im Gutachten vom 4. Februar 2008 genannte Zumutbarkeitsprofil nicht restlos zu überzeugen vermag. Denn es ist durchaus denkbar, dass der - ohne Auswirkungen auf die Arbeitsfähigkeit diagnostizierte - Schwankschwindel Auswirkungen auf die Arbeitsfähigkeit und das Leistungsprofil hat. Zu denken ist dabei zum Beispiel an (gefährliche) Arbeiten an/mit Maschinen und anderen Gerätschaften und an Tätigkeiten in der Höhe, bspw. auf Leitern. Einschränkungen ergäben sich allenfalls auch dadurch, dass für den Beschwerdeführer zufolge der Schwindelanfälle die Möglichkeit bestehen müsste, sich für wenige Minuten hinsetzen zu können, was - selbst bei voller Präsenz - zusätzlich eine verminderte Leistungsfähigkeit zur Folge haben könnte. Auch wurde im zweiten Gutachten keine schlüssige und überzeugende Begründung dafür geliefert, weshalb - im Gegensatz zur ersten Expertise - anstelle einer "körperlich leichten und wechselbelastenden" Tätigkeit neu eine "leichte bis mittelschwere wechselbelastende Arbeit mit Hantieren von Lasten bis selten maximal 20 kg" zumutbar sein soll.</w:t>
      </w:r>
    </w:p>
    <w:p>
      <w:r>
        <w:rPr>
          <w:b/>
        </w:rPr>
        <w:t>E. 4.2.6</w:t>
      </w:r>
    </w:p>
    <w:p>
      <w:r>
        <w:t>Immerhin kann aufgrund der vorliegenden medizinischen Akten festgestellt werden, dass sich die gesundheitliche Situation des Beschwerdeführers in kardiologischer Hinsicht nicht verändert resp. verschlechtert hat. So berichtet die Internistin und Kardiologin Dr. med. I._______ am 19. April 2007, es hätten sich keine Änderungen zum Bericht vom 11. Juli 2005 ergeben (act. 81; vgl. auch act. 78).</w:t>
      </w:r>
    </w:p>
    <w:p>
      <w:r>
        <w:rPr>
          <w:b/>
        </w:rPr>
        <w:t>E. 5</w:t>
      </w:r>
    </w:p>
    <w:p>
      <w:r>
        <w:t>In Bezug auf die weiteren Ausführungen des Beschwerdeführers betreffend Bemessung des Validen- und Invalideneinkommens sowie konkreter Tätigkeiten ist bereits im vorliegenden Entscheid Folgendes festzustellen:</w:t>
      </w:r>
    </w:p>
    <w:p>
      <w:r>
        <w:rPr>
          <w:b/>
        </w:rPr>
        <w:t>E. 5.1</w:t>
      </w:r>
    </w:p>
    <w:p>
      <w:r>
        <w:t>Für die Ermittlung des Valideneinkommens ist entscheidend, was der Versicherte im Zeitpunkt des frühestmöglichen Rentenbeginns - gemäss der Liechtensteinischen Invalidenversicherung am 1. Oktober 2005 (act. 6) - nach dem Beweisgrad der überwiegenden Wahrschein-lichkeit als Gesunder tatsächlich verdient hätte. Dabei wird in der Regel am zuletzt erzielten, nötigenfalls der Teuerung und der realen Einkommensentwicklung angepassten Verdienst angeknüpft (BGE 134 V 322 E. 4.1, 129 V 222 E. 4.3.1; RKUV 2006 U 568 S. 66 E. 2). Die Vorinstanz ging gemäss Fragebogen für den Arbeitgeber vom 15. November 2006 (act. 10) von einem (hypothetischen) Validenein-kommen von monatlich Fr. 4'850.-- resp. Fr. 63'050.-- pro Jahr aus (act. 90). Da der Beschwerdeführer seine Stelle aus gesundheitlichen Gründen verloren hat und davon auszugehen ist, dass er im Gesundheitsfall immer noch bei der ehemaligen Arbeitgeberin tätig wäre, ist nicht zu beanstanden, dass grundsätzlich das bei dieser zuletzt erzielte Einkommen Basis für die Bemessung des Valideneinkommens bildet. Die Vorinstanz hat jedoch verkannt, dass auch die Schichtzulagen bei der Bemessung des Valideneinkommens zu berücksichti-gen sind (vgl. bspw. Urteil des EVG I 601/01 vom 17. Dezember 2002, E. 4.1). Der Beschwerdeführer erzielte von Januar bis Oktober 2004 ein Einkommen von Fr. 56'901.-- (act. 10), was einem durchschnittli-chen Jahreseinkommen von Fr. 68'281.-- entspricht. Unter Berücksich-tigung des 13. Monatslohns von Fr. 4'850.-- und der Nominallohn-entwicklung von 2004 auf 2005 (Wert 2004: 112.6, Wert 2005: 114; vgl. Nominallohnindex Männer, Tabelle T1.1.93, Abschnitt D; abrufbar unter www.bfs.admin.ch) resultiert somit ein jährliches hypothetisches Valideneinkommen von Fr. 74'040.--.</w:t>
      </w:r>
    </w:p>
    <w:p>
      <w:r>
        <w:rPr>
          <w:b/>
        </w:rPr>
        <w:t>E. 5.2</w:t>
      </w:r>
    </w:p>
    <w:p>
      <w:r>
        <w:t>Betreffend die Ausführungen des Beschwerdeführers im Zusammenhang mit dem leidensbedingten Abzug ist festzuhalten, dass die Fragen nach der Berücksichtigung resp. der Höhe eines leidensbedingten Abzugs im vorliegenden Beschwerdeverfahren nicht beantwortet werden können, da nebst dem Alter, den Dienstjahren, der Nationalität/Aufenthaltskategorie und dem Beschäftigungsgrad auch die leidensbedingte Einschränkung eine Rolle spielt (vgl. zum Ganzen BGE 129 V 472 E. 4.2.3, 126 V 75 E. 5b bb und cc; AHI 2002 S. 69 ff. E. 4b). Ob eine solche vorliegt, und wenn ja, in welchem Ausmass und seit wann, kann nach dem Dargelegten resp. aufgrund der aktenkundigen ärztlichen Dokumente nicht rechtsgenüglich festgestellt werden und ist im Rahmen der deshalb erforderlichen neuen Begutachtung zu klären. Erst nach Vorliegen der entsprechenden Abklärungsergebnisse kann die Vorinstanz über die Vornahme und Höhe des behinderungsbedingten Abzugs erneut befinden.</w:t>
      </w:r>
    </w:p>
    <w:p>
      <w:r>
        <w:rPr>
          <w:b/>
        </w:rPr>
        <w:t>E. 5.3</w:t>
      </w:r>
    </w:p>
    <w:p>
      <w:r>
        <w:t>Schliesslich sei betreffend die vom Versicherten beschwerdeweise gemachten Ausführungen im Zusammenhang mit konkreten Tätigkeiten darauf hingewiesen,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(BGE 115 V 133 E. 2; Urteil N. vom 18. September 2002 E. 2.2, U 1/01).</w:t>
      </w:r>
    </w:p>
    <w:p>
      <w:r>
        <w:rPr>
          <w:b/>
        </w:rPr>
        <w:t>E. 6</w:t>
      </w:r>
    </w:p>
    <w:p>
      <w:r>
        <w:t>Aufgrund der vorstehenden Erwägungen bzw. der vorliegenden Akten ergibt sich demnach zusammenfassend, dass die angefochtene Verfügung vom 16. September 2008 auf einem unvollständig resp. unkorrekt ermittelten Sachverhalt beruht und demnach eine rechtskonforme Beurteilung des zu beurteilenden Rentenanspruchs nicht möglich ist. Die Beschwerde vom 17. Oktober 2008 ist demnach insoweit gutzuheissen, als die angefochtene Verfügung vom 16. September 2008 aufzuheben und die Sache an die Vorinstanz zurückzuweisen ist; soweit weitergehend ist die Beschwerde abzuweisen. Die Vorinstanz hat - unter Beilage sämtlicher medizinischer Akten und unter Berücksichtigung aller bisher gestellten Diagnosen - ergänzende medizinische Abklärungen insbesondere in somatischer Hinsicht bei Spezialärzten (und/oder -ärztinnen) mit entsprechenden Facharzttiteln durchzuführen. Im Rahmen dieser Abklärungen sind auch die Fragen hinsichtlich der Auswirkungen sämtlicher Gesundheitsbeeinträchtigungen - auch die des Schwankschwindels - auf die Arbeits- und Leistungsfähigkeit des Beschwerdeführers interdisziplinär abklären bzw. ein rechtsgenügliches Zumutbarkeitsprofil erstellen zu lassen. Mit Blick auf die gesamten Umstände hat die entsprechende Begutachtung vorzugsweise in der Schweiz in einer geeigneten Institution, die sich mit dem Versicherten bisher noch nicht befasst hat, stattzufinden. Nach Vorliegen der entsprechenden gutachterlichen Berichte hat die IVSTA über den Rentenanspruch des Beschwerdeführers neu zu verfügen.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dem Beschwerdeführer keine Kosten aufzuerlegen. Der Vorinstanz werden ebenfalls keine Verfahrenskosten auferlegt (Art. 63 Abs. 2 VwVG).</w:t>
      </w:r>
    </w:p>
    <w:p>
      <w:r>
        <w:rPr>
          <w:b/>
        </w:rPr>
        <w:t>E. 7.2</w:t>
      </w:r>
    </w:p>
    <w:p>
      <w:r>
        <w:t>Der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 Grund der Akten festzusetzen (Art. 14 Abs. 2 Satz 2 VGKE). Unter Berücksichtigung des gebotenen und aktenkundigen Aufwandes erscheint eine Parteientschädigung von Fr. 2'000.-- gerechtfertigt.</w:t>
      </w:r>
    </w:p>
    <w:p>
      <w:r>
        <w:rPr>
          <w:b/>
        </w:rPr>
        <w:t>E. 7.3</w:t>
      </w:r>
    </w:p>
    <w:p>
      <w:r>
        <w:t>Bei diesem Ausgang des Verfahrens ist das Gesuch um Erteilung des Rechts auf unentgeltliche Rechtspflege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